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README — Vocero Digital IA</w:t>
      </w:r>
    </w:p>
    <w:p>
      <w:pPr>
        <w:spacing w:after="40"/>
        <w:jc w:val="center"/>
      </w:pPr>
      <w:r>
        <w:rPr>
          <w:b/>
          <w:bCs/>
          <w:color w:val="C8A96E"/>
          <w:sz w:val="28"/>
          <w:szCs w:val="28"/>
        </w:rPr>
        <w:t xml:space="preserve">Credo Estudio</w:t>
      </w:r>
    </w:p>
    <w:p>
      <w:pPr>
        <w:spacing w:after="300"/>
        <w:jc w:val="center"/>
      </w:pPr>
      <w:r>
        <w:rPr>
          <w:i/>
          <w:iCs/>
          <w:color w:val="555555"/>
          <w:sz w:val="20"/>
          <w:szCs w:val="20"/>
        </w:rPr>
        <w:t xml:space="preserve">Módulo 4 — Creación de Voceros Digitales Personalizados | Coderhouse — AI Content Creation</w:t>
      </w:r>
    </w:p>
    <w:p>
      <w:pPr>
        <w:pStyle w:val="Heading2"/>
        <w:spacing w:after="120" w:before="250"/>
      </w:pPr>
      <w:r>
        <w:rPr>
          <w:b/>
          <w:bCs/>
          <w:color w:val="C8A96E"/>
        </w:rPr>
        <w:t xml:space="preserve">Índice</w:t>
      </w:r>
    </w:p>
    <w:p>
      <w:pPr>
        <w:pStyle w:val="ListParagraph"/>
        <w:numPr>
          <w:ilvl w:val="0"/>
          <w:numId w:val="1"/>
        </w:numPr>
        <w:spacing w:after="80"/>
      </w:pPr>
      <w:r>
        <w:t xml:space="preserve">1. Justificación del proyecto</w:t>
      </w:r>
    </w:p>
    <w:p>
      <w:pPr>
        <w:pStyle w:val="ListParagraph"/>
        <w:numPr>
          <w:ilvl w:val="0"/>
          <w:numId w:val="1"/>
        </w:numPr>
        <w:spacing w:after="80"/>
      </w:pPr>
      <w:r>
        <w:t xml:space="preserve">2. Conexión con módulos anteriores</w:t>
      </w:r>
    </w:p>
    <w:p>
      <w:pPr>
        <w:pStyle w:val="ListParagraph"/>
        <w:numPr>
          <w:ilvl w:val="0"/>
          <w:numId w:val="1"/>
        </w:numPr>
        <w:spacing w:after="80"/>
      </w:pPr>
      <w:r>
        <w:t xml:space="preserve">3. Configuración de modelos utilizados</w:t>
      </w:r>
    </w:p>
    <w:p>
      <w:pPr>
        <w:pStyle w:val="ListParagraph"/>
        <w:numPr>
          <w:ilvl w:val="0"/>
          <w:numId w:val="1"/>
        </w:numPr>
        <w:spacing w:after="80"/>
      </w:pPr>
      <w:r>
        <w:t xml:space="preserve">4. Assets y estructura del repositorio</w:t>
      </w:r>
    </w:p>
    <w:p>
      <w:pPr>
        <w:pStyle w:val="ListParagraph"/>
        <w:numPr>
          <w:ilvl w:val="0"/>
          <w:numId w:val="1"/>
        </w:numPr>
        <w:spacing w:after="80"/>
      </w:pPr>
      <w:r>
        <w:t xml:space="preserve">5. Proceso de sincronización</w:t>
      </w:r>
    </w:p>
    <w:p>
      <w:pPr>
        <w:pStyle w:val="ListParagraph"/>
        <w:numPr>
          <w:ilvl w:val="0"/>
          <w:numId w:val="1"/>
        </w:numPr>
        <w:spacing w:after="80"/>
      </w:pPr>
      <w:r>
        <w:t xml:space="preserve">6. Resultado final</w:t>
      </w:r>
    </w:p>
    <w:p>
      <w:pPr>
        <w:pStyle w:val="Heading1"/>
        <w:spacing w:after="150" w:before="300"/>
      </w:pPr>
      <w:r>
        <w:rPr>
          <w:b/>
          <w:bCs/>
          <w:color w:val="1A1A1A"/>
        </w:rPr>
        <w:t xml:space="preserve">1. Justificación del proyecto</w:t>
      </w:r>
    </w:p>
    <w:p>
      <w:pPr>
        <w:spacing w:after="150"/>
      </w:pPr>
      <w:r>
        <w:t xml:space="preserve">Este vocero digital fue desarrollado para Credo Estudio como una pieza de comunicación institucional que anuncia formalmente la incorporación de inteligencia artificial a nuestro workflow de producción de contenido. El objetivo es doble: comunicar una novedad estratégica a clientes actuales y potenciales, y al mismo tiempo demostrar —en el propio formato del video— la capacidad técnica que estamos ofreciendo.</w:t>
      </w:r>
    </w:p>
    <w:p>
      <w:pPr>
        <w:spacing w:after="150"/>
      </w:pPr>
      <w:r>
        <w:t xml:space="preserve">Se eligió un vocero de IA en lugar de un video tradicional grabado porque refuerza el mensaje del guion: la marca ya está operando con estas herramientas de forma nativa.</w:t>
      </w:r>
    </w:p>
    <w:p>
      <w:pPr>
        <w:pStyle w:val="Heading1"/>
        <w:spacing w:after="150" w:before="300"/>
      </w:pPr>
      <w:r>
        <w:rPr>
          <w:b/>
          <w:bCs/>
          <w:color w:val="1A1A1A"/>
        </w:rPr>
        <w:t xml:space="preserve">2. Conexión con módulos anteriores</w:t>
      </w:r>
    </w:p>
    <w:p>
      <w:pPr>
        <w:spacing w:after="150"/>
      </w:pPr>
      <w:r>
        <w:t xml:space="preserve">Este ejercicio integra directamente los activos generados en etapas previas del curso, usando Credo Estudio como proyecto vivo a lo largo de todo el programa:</w:t>
      </w:r>
    </w:p>
    <w:p>
      <w:pPr>
        <w:pStyle w:val="ListParagraph"/>
        <w:numPr>
          <w:ilvl w:val="0"/>
          <w:numId w:val="1"/>
        </w:numPr>
        <w:spacing w:after="80"/>
      </w:pPr>
      <w:r>
        <w:t xml:space="preserve">Guion (Módulo 2 — Content Bible / Calendario Editorial): el texto del vocero se alinea con la voz de marca definida en ese módulo: estratégica, cálida, didáctica y honesta, en voseo argentino.</w:t>
      </w:r>
    </w:p>
    <w:p>
      <w:pPr>
        <w:pStyle w:val="ListParagraph"/>
        <w:numPr>
          <w:ilvl w:val="0"/>
          <w:numId w:val="1"/>
        </w:numPr>
        <w:spacing w:after="80"/>
      </w:pPr>
      <w:r>
        <w:t xml:space="preserve">Identidad visual (Módulo 3 — Manual de Identidad Visual): la estética del video respeta la paleta de marca (Negro #1A1A1A, Dorado #C8A96E, Marfil #F7F4EF).</w:t>
      </w:r>
    </w:p>
    <w:p>
      <w:pPr>
        <w:pStyle w:val="ListParagraph"/>
        <w:numPr>
          <w:ilvl w:val="0"/>
          <w:numId w:val="1"/>
        </w:numPr>
        <w:spacing w:after="80"/>
      </w:pPr>
      <w:r>
        <w:t xml:space="preserve">Formato de distribución: se optó por formato vertical (9:16), pantalla completa, pensado para su uso como Reel/Story en Instagram — el canal principal de distribución de contenido de Credo.</w:t>
      </w:r>
    </w:p>
    <w:p>
      <w:pPr>
        <w:pStyle w:val="Heading1"/>
        <w:spacing w:after="150" w:before="300"/>
      </w:pPr>
      <w:r>
        <w:rPr>
          <w:b/>
          <w:bCs/>
          <w:color w:val="1A1A1A"/>
        </w:rPr>
        <w:t xml:space="preserve">3. Configuración de modelos utilizados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00"/>
      </w:tblGrid>
      <w:tr>
        <w:tc>
          <w:tcPr>
            <w:tcW w:type="dxa" w:w="2800"/>
            <w:shd w:fill="1A1A1A" w:val="clear"/>
            <w:tcMar>
              <w:top w:type="dxa" w:w="100"/>
              <w:left w:type="dxa" w:w="120"/>
              <w:bottom w:type="dxa" w:w="100"/>
              <w:right w:type="dxa" w:w="120"/>
            </w:tcMar>
          </w:tcPr>
          <w:p>
            <w:r>
              <w:rPr>
                <w:b/>
                <w:bCs/>
                <w:color w:val="FFFFFF"/>
              </w:rPr>
              <w:t xml:space="preserve">Herramienta</w:t>
            </w:r>
          </w:p>
        </w:tc>
        <w:tc>
          <w:tcPr>
            <w:tcW w:type="dxa" w:w="3600"/>
            <w:shd w:fill="1A1A1A" w:val="clear"/>
            <w:tcMar>
              <w:top w:type="dxa" w:w="100"/>
              <w:left w:type="dxa" w:w="120"/>
              <w:bottom w:type="dxa" w:w="100"/>
              <w:right w:type="dxa" w:w="120"/>
            </w:tcMar>
          </w:tcPr>
          <w:p>
            <w:r>
              <w:rPr>
                <w:b/>
                <w:bCs/>
                <w:color w:val="FFFFFF"/>
              </w:rPr>
              <w:t xml:space="preserve">Función</w:t>
            </w:r>
          </w:p>
        </w:tc>
        <w:tc>
          <w:tcPr>
            <w:tcW w:type="dxa" w:w="2600"/>
            <w:shd w:fill="1A1A1A" w:val="clear"/>
            <w:tcMar>
              <w:top w:type="dxa" w:w="100"/>
              <w:left w:type="dxa" w:w="120"/>
              <w:bottom w:type="dxa" w:w="100"/>
              <w:right w:type="dxa" w:w="120"/>
            </w:tcMar>
          </w:tcPr>
          <w:p>
            <w:r>
              <w:rPr>
                <w:b/>
                <w:bCs/>
                <w:color w:val="FFFFFF"/>
              </w:rPr>
              <w:t xml:space="preserve">Plan / Configuración</w:t>
            </w:r>
          </w:p>
        </w:tc>
      </w:tr>
      <w:tr>
        <w:tc>
          <w:tcPr>
            <w:tcW w:type="dxa" w:w="2800"/>
            <w:tcMar>
              <w:top w:type="dxa" w:w="100"/>
              <w:left w:type="dxa" w:w="120"/>
              <w:bottom w:type="dxa" w:w="100"/>
              <w:right w:type="dxa" w:w="120"/>
            </w:tcMar>
          </w:tcPr>
          <w:p>
            <w:r>
              <w:rPr>
                <w:b w:val="false"/>
                <w:bCs w:val="false"/>
                <w:color w:val="1A1A1A"/>
              </w:rPr>
              <w:t xml:space="preserve">HeyGen</w:t>
            </w:r>
          </w:p>
        </w:tc>
        <w:tc>
          <w:tcPr>
            <w:tcW w:type="dxa" w:w="3600"/>
            <w:tcMar>
              <w:top w:type="dxa" w:w="100"/>
              <w:left w:type="dxa" w:w="120"/>
              <w:bottom w:type="dxa" w:w="100"/>
              <w:right w:type="dxa" w:w="120"/>
            </w:tcMar>
          </w:tcPr>
          <w:p>
            <w:r>
              <w:rPr>
                <w:b w:val="false"/>
                <w:bCs w:val="false"/>
                <w:color w:val="1A1A1A"/>
              </w:rPr>
              <w:t xml:space="preserve">Generación de avatar + lipsync</w:t>
            </w:r>
          </w:p>
        </w:tc>
        <w:tc>
          <w:tcPr>
            <w:tcW w:type="dxa" w:w="2600"/>
            <w:tcMar>
              <w:top w:type="dxa" w:w="100"/>
              <w:left w:type="dxa" w:w="120"/>
              <w:bottom w:type="dxa" w:w="100"/>
              <w:right w:type="dxa" w:w="120"/>
            </w:tcMar>
          </w:tcPr>
          <w:p>
            <w:r>
              <w:rPr>
                <w:b w:val="false"/>
                <w:bCs w:val="false"/>
                <w:color w:val="1A1A1A"/>
              </w:rPr>
              <w:t xml:space="preserve">Plan free, 720p, formato vertical 9:16</w:t>
            </w:r>
          </w:p>
        </w:tc>
      </w:tr>
      <w:tr>
        <w:tc>
          <w:tcPr>
            <w:tcW w:type="dxa" w:w="2800"/>
            <w:tcMar>
              <w:top w:type="dxa" w:w="100"/>
              <w:left w:type="dxa" w:w="120"/>
              <w:bottom w:type="dxa" w:w="100"/>
              <w:right w:type="dxa" w:w="120"/>
            </w:tcMar>
          </w:tcPr>
          <w:p>
            <w:r>
              <w:rPr>
                <w:b w:val="false"/>
                <w:bCs w:val="false"/>
                <w:color w:val="1A1A1A"/>
              </w:rPr>
              <w:t xml:space="preserve">Cartesia (voz nativa de HeyGen)</w:t>
            </w:r>
          </w:p>
        </w:tc>
        <w:tc>
          <w:tcPr>
            <w:tcW w:type="dxa" w:w="3600"/>
            <w:tcMar>
              <w:top w:type="dxa" w:w="100"/>
              <w:left w:type="dxa" w:w="120"/>
              <w:bottom w:type="dxa" w:w="100"/>
              <w:right w:type="dxa" w:w="120"/>
            </w:tcMar>
          </w:tcPr>
          <w:p>
            <w:r>
              <w:rPr>
                <w:b w:val="false"/>
                <w:bCs w:val="false"/>
                <w:color w:val="1A1A1A"/>
              </w:rPr>
              <w:t xml:space="preserve">Locución del guion</w:t>
            </w:r>
          </w:p>
        </w:tc>
        <w:tc>
          <w:tcPr>
            <w:tcW w:type="dxa" w:w="2600"/>
            <w:tcMar>
              <w:top w:type="dxa" w:w="100"/>
              <w:left w:type="dxa" w:w="120"/>
              <w:bottom w:type="dxa" w:w="100"/>
              <w:right w:type="dxa" w:w="120"/>
            </w:tcMar>
          </w:tcPr>
          <w:p>
            <w:r>
              <w:rPr>
                <w:b w:val="false"/>
                <w:bCs w:val="false"/>
                <w:color w:val="1A1A1A"/>
              </w:rPr>
              <w:t xml:space="preserve">Voz de stock integrada en HeyGen</w:t>
            </w:r>
          </w:p>
        </w:tc>
      </w:tr>
      <w:tr>
        <w:tc>
          <w:tcPr>
            <w:tcW w:type="dxa" w:w="2800"/>
            <w:tcMar>
              <w:top w:type="dxa" w:w="100"/>
              <w:left w:type="dxa" w:w="120"/>
              <w:bottom w:type="dxa" w:w="100"/>
              <w:right w:type="dxa" w:w="120"/>
            </w:tcMar>
          </w:tcPr>
          <w:p>
            <w:r>
              <w:rPr>
                <w:b w:val="false"/>
                <w:bCs w:val="false"/>
                <w:color w:val="1A1A1A"/>
              </w:rPr>
              <w:t xml:space="preserve">Suno / Udio</w:t>
            </w:r>
          </w:p>
        </w:tc>
        <w:tc>
          <w:tcPr>
            <w:tcW w:type="dxa" w:w="3600"/>
            <w:tcMar>
              <w:top w:type="dxa" w:w="100"/>
              <w:left w:type="dxa" w:w="120"/>
              <w:bottom w:type="dxa" w:w="100"/>
              <w:right w:type="dxa" w:w="120"/>
            </w:tcMar>
          </w:tcPr>
          <w:p>
            <w:r>
              <w:rPr>
                <w:b w:val="false"/>
                <w:bCs w:val="false"/>
                <w:color w:val="1A1A1A"/>
              </w:rPr>
              <w:t xml:space="preserve">Música de fondo instrumental</w:t>
            </w:r>
          </w:p>
        </w:tc>
        <w:tc>
          <w:tcPr>
            <w:tcW w:type="dxa" w:w="2600"/>
            <w:tcMar>
              <w:top w:type="dxa" w:w="100"/>
              <w:left w:type="dxa" w:w="120"/>
              <w:bottom w:type="dxa" w:w="100"/>
              <w:right w:type="dxa" w:w="120"/>
            </w:tcMar>
          </w:tcPr>
          <w:p>
            <w:r>
              <w:rPr>
                <w:b w:val="false"/>
                <w:bCs w:val="false"/>
                <w:color w:val="1A1A1A"/>
              </w:rPr>
              <w:t xml:space="preserve">Generada por prompt, uso no comercial</w:t>
            </w:r>
          </w:p>
        </w:tc>
      </w:tr>
    </w:tbl>
    <w:p>
      <w:pPr>
        <w:spacing w:before="250"/>
      </w:pPr>
    </w:p>
    <w:p>
      <w:pPr>
        <w:pStyle w:val="Heading2"/>
        <w:spacing w:after="120" w:before="250"/>
      </w:pPr>
      <w:r>
        <w:rPr>
          <w:b/>
          <w:bCs/>
          <w:color w:val="C8A96E"/>
        </w:rPr>
        <w:t xml:space="preserve">Prompt utilizado para música (Suno)</w:t>
      </w:r>
    </w:p>
    <w:p>
      <w:pPr>
        <w:pBdr>
          <w:left w:val="single" w:color="C8A96E" w:sz="12" w:space="8"/>
        </w:pBdr>
        <w:spacing w:after="200" w:before="100"/>
        <w:ind w:left="400"/>
      </w:pPr>
      <w:r>
        <w:rPr>
          <w:i/>
          <w:iCs/>
          <w:color w:val="444444"/>
        </w:rPr>
        <w:t xml:space="preserve">Instrumental only. Modern corporate technology background music. Clean, minimal, inspiring and optimistic. Soft electronic textures, warm ambient synths, light piano, subtle plucks, gentle percussion and a steady, unobtrusive rhythm. Designed as background music for a professional AI business presentation with a voice-over. No vocals, no dramatic drops, no overpowering melodies. Polished, premium, innovative and trustworthy atmosphere. 30 seconds.</w:t>
      </w:r>
    </w:p>
    <w:p>
      <w:pPr>
        <w:pStyle w:val="Heading2"/>
        <w:spacing w:after="120" w:before="250"/>
      </w:pPr>
      <w:r>
        <w:rPr>
          <w:b/>
          <w:bCs/>
          <w:color w:val="C8A96E"/>
        </w:rPr>
        <w:t xml:space="preserve">Guion utilizado (locución)</w:t>
      </w:r>
    </w:p>
    <w:p>
      <w:pPr>
        <w:pBdr>
          <w:left w:val="single" w:color="C8A96E" w:sz="12" w:space="8"/>
        </w:pBdr>
        <w:spacing w:after="200" w:before="100"/>
        <w:ind w:left="400"/>
      </w:pPr>
      <w:r>
        <w:rPr>
          <w:i/>
          <w:iCs/>
          <w:color w:val="444444"/>
        </w:rPr>
        <w:t xml:space="preserve">Quería contarte que en nuestro estudio estamos dando un paso muy importante: comenzamos a incorporar inteligencia artificial a nuestros procesos de creación de contenido. Esto nos permite generar imágenes, videos y piezas creativas de una forma mucho más ágil, sin dejar de lado lo más importante: la estrategia, el diseño y la calidad que hacen que cada marca sea única. Estamos preparados para ayudar a empresas que quieran innovar, optimizar sus tiempos y destacarse con contenido de alto impacto. Si querés llevar la comunicación de tu marca al siguiente nivel, nos encantaría trabajar con vos.</w:t>
      </w:r>
    </w:p>
    <w:p>
      <w:pPr>
        <w:pStyle w:val="Heading1"/>
        <w:spacing w:after="150" w:before="300"/>
      </w:pPr>
      <w:r>
        <w:rPr>
          <w:b/>
          <w:bCs/>
          <w:color w:val="1A1A1A"/>
        </w:rPr>
        <w:t xml:space="preserve">4. Assets y estructura del repositorio</w:t>
      </w:r>
    </w:p>
    <w:p>
      <w:pPr>
        <w:spacing w:after="150"/>
      </w:pPr>
      <w:r>
        <w:t xml:space="preserve">La entrega se organiza siguiendo la estructura solicitada en la consigna:</w:t>
      </w:r>
    </w:p>
    <w:p>
      <w:pPr>
        <w:pStyle w:val="ListParagraph"/>
        <w:numPr>
          <w:ilvl w:val="0"/>
          <w:numId w:val="1"/>
        </w:numPr>
        <w:spacing w:after="80"/>
      </w:pPr>
      <w:r>
        <w:t xml:space="preserve">/assets/imagen_personaje.png — imagen del personaje consistente (Módulo 3)</w:t>
      </w:r>
    </w:p>
    <w:p>
      <w:pPr>
        <w:pStyle w:val="ListParagraph"/>
        <w:numPr>
          <w:ilvl w:val="0"/>
          <w:numId w:val="1"/>
        </w:numPr>
        <w:spacing w:after="80"/>
      </w:pPr>
      <w:r>
        <w:t xml:space="preserve">/assets/audio_cartesia.mp3 — audio de voz generado en HeyGen (voz Cartesia)</w:t>
      </w:r>
    </w:p>
    <w:p>
      <w:pPr>
        <w:pStyle w:val="ListParagraph"/>
        <w:numPr>
          <w:ilvl w:val="0"/>
          <w:numId w:val="1"/>
        </w:numPr>
        <w:spacing w:after="80"/>
      </w:pPr>
      <w:r>
        <w:t xml:space="preserve">/output/video_final.mp4 — video final exportado</w:t>
      </w:r>
    </w:p>
    <w:p>
      <w:pPr>
        <w:pStyle w:val="ListParagraph"/>
        <w:numPr>
          <w:ilvl w:val="0"/>
          <w:numId w:val="1"/>
        </w:numPr>
        <w:spacing w:after="80"/>
      </w:pPr>
      <w:r>
        <w:t xml:space="preserve">/README.md (este documento) — prompts utilizados, descripción de la voz y proceso de sincronización</w:t>
      </w:r>
    </w:p>
    <w:p>
      <w:pPr>
        <w:pStyle w:val="Heading1"/>
        <w:spacing w:after="150" w:before="300"/>
      </w:pPr>
      <w:r>
        <w:rPr>
          <w:b/>
          <w:bCs/>
          <w:color w:val="1A1A1A"/>
        </w:rPr>
        <w:t xml:space="preserve">5. Proceso de sincronización</w:t>
      </w:r>
    </w:p>
    <w:p>
      <w:pPr>
        <w:spacing w:after="150"/>
      </w:pPr>
      <w:r>
        <w:t xml:space="preserve">El video fue configurado en formato vertical (9:16), cubriendo toda la pantalla, priorizando el uso en redes sociales tipo Reel. Se utilizó la voz nativa Cartesia de HeyGen para asegurar una sincronización labial fluida sin necesidad de subir audio externo, evitando así el riesgo de ruido de fondo que pudiera generar artefactos visuales en el lipsync. La música de Suno se integró como pista de fondo, nivelada por debajo de la locución para no competir con la voz principal.</w:t>
      </w:r>
    </w:p>
    <w:p>
      <w:pPr>
        <w:pStyle w:val="Heading1"/>
        <w:spacing w:after="150" w:before="300"/>
      </w:pPr>
      <w:r>
        <w:rPr>
          <w:b/>
          <w:bCs/>
          <w:color w:val="1A1A1A"/>
        </w:rPr>
        <w:t xml:space="preserve">6. Resultado final</w:t>
      </w:r>
    </w:p>
    <w:p>
      <w:pPr>
        <w:spacing w:after="150"/>
      </w:pPr>
      <w:r>
        <w:t xml:space="preserve">Video exportado en 720p (plan free de HeyGen, con marca de agua correspondiente al plan gratuito), formato vertical 9:16, disponible en /output/video_final.mp4.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2026-07-01T23:37:59.285Z</dcterms:created>
  <dcterms:modified xsi:type="dcterms:W3CDTF">2026-07-01T23:37:59.285Z</dcterms:modified>
</cp:coreProperties>
</file>

<file path=docProps/custom.xml><?xml version="1.0" encoding="utf-8"?>
<Properties xmlns="http://schemas.openxmlformats.org/officeDocument/2006/custom-properties" xmlns:vt="http://schemas.openxmlformats.org/officeDocument/2006/docPropsVTypes"/>
</file>