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single" w:sz="4" w:space="0" w:color="E4E4E4"/>
          <w:insideV w:val="single" w:sz="4" w:space="0" w:color="E4E4E4"/>
        </w:tblBorders>
        <w:tblLook w:val="04A0" w:firstRow="1" w:lastRow="0" w:firstColumn="1" w:lastColumn="0" w:noHBand="0" w:noVBand="1"/>
      </w:tblPr>
      <w:tblGrid>
        <w:gridCol w:w="9747"/>
      </w:tblGrid>
      <w:tr w:rsidR="00012176" w14:paraId="09BAE93C" w14:textId="77777777" w:rsidTr="00E27140">
        <w:trPr>
          <w:jc w:val="center"/>
        </w:trPr>
        <w:tc>
          <w:tcPr>
            <w:tcW w:w="9747" w:type="dxa"/>
            <w:tcBorders>
              <w:top w:val="single" w:sz="4" w:space="0" w:color="E4E4E4"/>
              <w:left w:val="single" w:sz="4" w:space="0" w:color="E4E4E4"/>
              <w:bottom w:val="nil"/>
              <w:right w:val="single" w:sz="4" w:space="0" w:color="E4E4E4"/>
            </w:tcBorders>
            <w:tcMar>
              <w:left w:w="0" w:type="dxa"/>
              <w:right w:w="0" w:type="dxa"/>
            </w:tcMar>
            <w:vAlign w:val="center"/>
          </w:tcPr>
          <w:p w14:paraId="59A0D291" w14:textId="77777777" w:rsidR="00012176" w:rsidRDefault="00EC1101" w:rsidP="00EC1101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header&gt;</w:t>
            </w:r>
          </w:p>
        </w:tc>
      </w:tr>
      <w:tr w:rsidR="00012176" w14:paraId="529756F7" w14:textId="77777777" w:rsidTr="00E27140">
        <w:trPr>
          <w:jc w:val="center"/>
        </w:trPr>
        <w:tc>
          <w:tcPr>
            <w:tcW w:w="974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7700"/>
              <w:gridCol w:w="1018"/>
            </w:tblGrid>
            <w:tr w:rsidR="00012176" w14:paraId="7D5615E4" w14:textId="77777777" w:rsidTr="00E27140">
              <w:tc>
                <w:tcPr>
                  <w:tcW w:w="460" w:type="pct"/>
                </w:tcPr>
                <w:p w14:paraId="62924D21" w14:textId="77777777" w:rsidR="00012176" w:rsidRDefault="00012176" w:rsidP="009B4254"/>
              </w:tc>
              <w:tc>
                <w:tcPr>
                  <w:tcW w:w="3476" w:type="pct"/>
                </w:tcPr>
                <w:p w14:paraId="21A5DCE2" w14:textId="0E0F153C" w:rsidR="00012176" w:rsidRPr="004D2872" w:rsidRDefault="00EC1101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 w:rsidRPr="004D287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Um título qualquer em até </w:t>
                  </w:r>
                  <w:r w:rsidR="004D2872" w:rsidRPr="004D287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2 linhas, na fonte </w:t>
                  </w:r>
                  <w:proofErr w:type="spellStart"/>
                  <w:r w:rsidR="004D2872" w:rsidRPr="004D287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Verdana</w:t>
                  </w:r>
                  <w:proofErr w:type="spellEnd"/>
                  <w:r w:rsidR="004D2872" w:rsidRPr="004D287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 xml:space="preserve"> </w:t>
                  </w:r>
                  <w:proofErr w:type="spellStart"/>
                  <w:r w:rsidR="004D2872" w:rsidRPr="004D2872"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Bold</w:t>
                  </w:r>
                  <w:proofErr w:type="spellEnd"/>
                </w:p>
                <w:p w14:paraId="7317812C" w14:textId="414CA30C" w:rsidR="00EC1101" w:rsidRPr="00884C57" w:rsidRDefault="00EC1101" w:rsidP="00884C57">
                  <w:pPr>
                    <w:spacing w:before="150"/>
                    <w:rPr>
                      <w:rFonts w:ascii="Verdana" w:eastAsia="Times New Roman" w:hAnsi="Verdana"/>
                      <w:bCs/>
                      <w:color w:val="C00026"/>
                    </w:rPr>
                  </w:pPr>
                  <w:r w:rsidRPr="00884C57">
                    <w:rPr>
                      <w:rFonts w:ascii="Verdana" w:eastAsia="Times New Roman" w:hAnsi="Verdana"/>
                      <w:bCs/>
                      <w:color w:val="C00026"/>
                    </w:rPr>
                    <w:t>Subtítu</w:t>
                  </w:r>
                  <w:r w:rsidR="004D2872">
                    <w:rPr>
                      <w:rFonts w:ascii="Verdana" w:eastAsia="Times New Roman" w:hAnsi="Verdana"/>
                      <w:bCs/>
                      <w:color w:val="C00026"/>
                    </w:rPr>
                    <w:t>lo da mensagem</w:t>
                  </w:r>
                </w:p>
                <w:p w14:paraId="67C3623A" w14:textId="77777777" w:rsidR="00EC1101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4D9C44FA" w14:textId="77777777" w:rsidR="00EC1101" w:rsidRPr="00884C57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84C57">
                    <w:rPr>
                      <w:rFonts w:ascii="Verdana" w:hAnsi="Verdana"/>
                      <w:sz w:val="18"/>
                      <w:szCs w:val="18"/>
                    </w:rPr>
                    <w:t>Dear</w:t>
                  </w:r>
                  <w:proofErr w:type="spellEnd"/>
                  <w:r w:rsidRPr="00884C57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7F0F18F6" w14:textId="77777777" w:rsidR="00EC1101" w:rsidRPr="00884C57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013D9606" w14:textId="77777777" w:rsidR="00EC1101" w:rsidRPr="00884C57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884C57">
                    <w:rPr>
                      <w:rFonts w:ascii="Verdana" w:hAnsi="Verdana"/>
                      <w:sz w:val="18"/>
                      <w:szCs w:val="18"/>
                    </w:rPr>
                    <w:t>Evidentemente, o desenvolvimento contínuo de distintas formas de atuação nos obriga à análise do processo de comunicação como um todo. O cuidado em identificar pontos críticos no aumento do diálogo entre os diferentes setores produtivos deve passar por modificações independentemente dos procedimentos normalmente adotados.</w:t>
                  </w:r>
                </w:p>
                <w:p w14:paraId="32B11303" w14:textId="77777777" w:rsidR="00EC1101" w:rsidRPr="00884C57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E3321B9" w14:textId="77777777" w:rsidR="00EC1101" w:rsidRPr="00884C57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884C57">
                    <w:rPr>
                      <w:rFonts w:ascii="Verdana" w:hAnsi="Verdana"/>
                      <w:sz w:val="18"/>
                      <w:szCs w:val="18"/>
                    </w:rPr>
                    <w:t>Assim mesmo, o acompanhamento das preferências de consumo agrega valor ao estabelecimento das diretrizes de desenvolvimento para o futuro.</w:t>
                  </w:r>
                </w:p>
                <w:p w14:paraId="1AA18E10" w14:textId="77777777" w:rsidR="00EC1101" w:rsidRPr="00884C57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42D3C17F" w14:textId="77777777" w:rsidR="00EC1101" w:rsidRPr="00884C57" w:rsidRDefault="00EC1101" w:rsidP="004D2872">
                  <w:pPr>
                    <w:spacing w:line="225" w:lineRule="exact"/>
                    <w:rPr>
                      <w:rFonts w:ascii="Verdana" w:hAnsi="Verdana"/>
                      <w:sz w:val="18"/>
                      <w:szCs w:val="18"/>
                    </w:rPr>
                  </w:pPr>
                  <w:r w:rsidRPr="00884C57">
                    <w:rPr>
                      <w:rFonts w:ascii="Verdana" w:hAnsi="Verdana"/>
                      <w:sz w:val="18"/>
                      <w:szCs w:val="18"/>
                    </w:rPr>
                    <w:t>É claro que a revolução dos costumes desafia a capacidade de equalização das formas de ação. Pensando mais a longo prazo, a competitividade nas transações comerciais representa uma abertura para a melhoria dos modos de operação convencionais.</w:t>
                  </w:r>
                </w:p>
                <w:p w14:paraId="50B2FC21" w14:textId="77777777" w:rsidR="00EC1101" w:rsidRPr="00884C57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D7F5367" w14:textId="77777777" w:rsidR="00EC1101" w:rsidRPr="00884C57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884C57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18AF9952" w14:textId="77777777" w:rsidR="00EC1101" w:rsidRPr="00884C57" w:rsidRDefault="00EC1101" w:rsidP="00EC110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23999EDB" w14:textId="77777777" w:rsidR="00EC1101" w:rsidRPr="00884C57" w:rsidRDefault="00EC1101" w:rsidP="00EC1101">
                  <w:pPr>
                    <w:rPr>
                      <w:b/>
                    </w:rPr>
                  </w:pPr>
                  <w:r w:rsidRPr="00884C57">
                    <w:rPr>
                      <w:rFonts w:ascii="Verdana" w:hAnsi="Verdana"/>
                      <w:b/>
                      <w:sz w:val="18"/>
                      <w:szCs w:val="18"/>
                    </w:rPr>
                    <w:t>Tecnologias de Aprendizagem Interativa</w:t>
                  </w:r>
                </w:p>
              </w:tc>
              <w:tc>
                <w:tcPr>
                  <w:tcW w:w="460" w:type="pct"/>
                  <w:tcBorders>
                    <w:left w:val="nil"/>
                  </w:tcBorders>
                </w:tcPr>
                <w:p w14:paraId="576FF6A6" w14:textId="77777777" w:rsidR="00012176" w:rsidRDefault="00012176" w:rsidP="009B4254"/>
              </w:tc>
            </w:tr>
            <w:tr w:rsidR="00021277" w14:paraId="7534A9DD" w14:textId="77777777" w:rsidTr="00E27140">
              <w:trPr>
                <w:trHeight w:val="1650"/>
              </w:trPr>
              <w:tc>
                <w:tcPr>
                  <w:tcW w:w="460" w:type="pct"/>
                  <w:vAlign w:val="center"/>
                </w:tcPr>
                <w:p w14:paraId="6A92D8FE" w14:textId="77777777" w:rsidR="00021277" w:rsidRDefault="00021277" w:rsidP="009B4254"/>
              </w:tc>
              <w:tc>
                <w:tcPr>
                  <w:tcW w:w="3476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3"/>
                    <w:gridCol w:w="2197"/>
                  </w:tblGrid>
                  <w:tr w:rsidR="00021277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5"/>
                          <w:gridCol w:w="525"/>
                          <w:gridCol w:w="525"/>
                          <w:gridCol w:w="525"/>
                          <w:gridCol w:w="525"/>
                        </w:tblGrid>
                        <w:tr w:rsidR="00021277" w14:paraId="671D4FD2" w14:textId="77777777" w:rsidTr="006F205A"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1E9B6A35" w14:textId="77777777" w:rsidR="00021277" w:rsidRDefault="00021277" w:rsidP="0002127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color w:val="FFA500"/>
                                  <w:lang w:val="en-US" w:eastAsia="en-US"/>
                                </w:rPr>
                                <w:drawing>
                                  <wp:inline distT="0" distB="0" distL="0" distR="0" wp14:anchorId="780B668F" wp14:editId="686A690B">
                                    <wp:extent cx="276225" cy="285750"/>
                                    <wp:effectExtent l="0" t="0" r="9525" b="0"/>
                                    <wp:docPr id="9" name="Imagem 6" descr="http://arquivos.insper.edu.br/Desenvolvimento_inst/templates2014/images/linkedin_circle_black.png">
                                      <a:hlinkClick xmlns:a="http://schemas.openxmlformats.org/drawingml/2006/main" r:id="rId5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6" descr="http://arquivos.insper.edu.br/Desenvolvimento_inst/templates2014/images/linkedin_circle_black.png">
                                              <a:hlinkClick r:id="rId5" tgtFrame="_blank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4B46363D" w14:textId="77777777" w:rsidR="00021277" w:rsidRDefault="00021277" w:rsidP="0002127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color w:val="FFA500"/>
                                  <w:lang w:val="en-US" w:eastAsia="en-US"/>
                                </w:rPr>
                                <w:drawing>
                                  <wp:inline distT="0" distB="0" distL="0" distR="0" wp14:anchorId="554CB6D1" wp14:editId="7B0E585F">
                                    <wp:extent cx="276225" cy="285750"/>
                                    <wp:effectExtent l="0" t="0" r="9525" b="0"/>
                                    <wp:docPr id="10" name="Imagem 5" descr="http://arquivos.insper.edu.br/Desenvolvimento_inst/templates2014/images/facebook_circle_black.png">
                                      <a:hlinkClick xmlns:a="http://schemas.openxmlformats.org/drawingml/2006/main" r:id="rId7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8" descr="http://arquivos.insper.edu.br/Desenvolvimento_inst/templates2014/images/facebook_circle_black.png">
                                              <a:hlinkClick r:id="rId7" tgtFrame="_blank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5F9BAAD5" w14:textId="77777777" w:rsidR="00021277" w:rsidRDefault="00021277" w:rsidP="0002127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color w:val="FFA500"/>
                                  <w:lang w:val="en-US" w:eastAsia="en-US"/>
                                </w:rPr>
                                <w:drawing>
                                  <wp:inline distT="0" distB="0" distL="0" distR="0" wp14:anchorId="70613CA7" wp14:editId="5D60D484">
                                    <wp:extent cx="276225" cy="285750"/>
                                    <wp:effectExtent l="0" t="0" r="9525" b="0"/>
                                    <wp:docPr id="11" name="Imagem 4" descr="http://arquivos.insper.edu.br/Desenvolvimento_inst/templates2014/images/twitter_circle_black.png">
                                      <a:hlinkClick xmlns:a="http://schemas.openxmlformats.org/drawingml/2006/main" r:id="rId9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9" descr="http://arquivos.insper.edu.br/Desenvolvimento_inst/templates2014/images/twitter_circle_black.png">
                                              <a:hlinkClick r:id="rId9" tgtFrame="_blank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1F5A410" w14:textId="77777777" w:rsidR="00021277" w:rsidRDefault="00021277" w:rsidP="0002127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color w:val="FFA500"/>
                                  <w:lang w:val="en-US" w:eastAsia="en-US"/>
                                </w:rPr>
                                <w:drawing>
                                  <wp:inline distT="0" distB="0" distL="0" distR="0" wp14:anchorId="66C5C3E9" wp14:editId="4BF9BA6E">
                                    <wp:extent cx="276225" cy="285750"/>
                                    <wp:effectExtent l="0" t="0" r="9525" b="0"/>
                                    <wp:docPr id="12" name="Imagem 3" descr="http://arquivos.insper.edu.br/Desenvolvimento_inst/templates2014/images/youtube_circle_black.png">
                                      <a:hlinkClick xmlns:a="http://schemas.openxmlformats.org/drawingml/2006/main" r:id="rId11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10" descr="http://arquivos.insper.edu.br/Desenvolvimento_inst/templates2014/images/youtube_circle_black.png">
                                              <a:hlinkClick r:id="rId11" tgtFrame="_blank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25" w:type="dxa"/>
                              <w:vAlign w:val="center"/>
                              <w:hideMark/>
                            </w:tcPr>
                            <w:p w14:paraId="77A3EF39" w14:textId="77777777" w:rsidR="00021277" w:rsidRDefault="00021277" w:rsidP="00021277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  <w:color w:val="FFA500"/>
                                  <w:lang w:val="en-US" w:eastAsia="en-US"/>
                                </w:rPr>
                                <w:drawing>
                                  <wp:inline distT="0" distB="0" distL="0" distR="0" wp14:anchorId="4671E04F" wp14:editId="19B70214">
                                    <wp:extent cx="276225" cy="285750"/>
                                    <wp:effectExtent l="0" t="0" r="9525" b="0"/>
                                    <wp:docPr id="13" name="Imagem 2" descr="http://arquivos.insper.edu.br/Desenvolvimento_inst/templates2014/images/flickr_circle_black.png">
                                      <a:hlinkClick xmlns:a="http://schemas.openxmlformats.org/drawingml/2006/main" r:id="rId13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m 2" descr="http://arquivos.insper.edu.br/Desenvolvimento_inst/templates2014/images/flickr_circle_black.png">
                                              <a:hlinkClick r:id="rId13" tgtFrame="_blank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622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Default="00021277" w:rsidP="00021277">
                        <w:pPr>
                          <w:jc w:val="center"/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6403E5E" w:rsidR="00021277" w:rsidRDefault="00E27140" w:rsidP="00884C57">
                        <w:pPr>
                          <w:jc w:val="right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lang w:val="en-US" w:eastAsia="en-US"/>
                          </w:rPr>
                          <w:t>&lt;img&gt;</w:t>
                        </w:r>
                      </w:p>
                    </w:tc>
                  </w:tr>
                </w:tbl>
                <w:p w14:paraId="4EE4DFC0" w14:textId="77777777" w:rsidR="00021277" w:rsidRPr="00EC1101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460" w:type="pct"/>
                </w:tcPr>
                <w:p w14:paraId="3D68B6AC" w14:textId="77777777" w:rsidR="00021277" w:rsidRDefault="00021277" w:rsidP="009B4254"/>
              </w:tc>
            </w:tr>
          </w:tbl>
          <w:p w14:paraId="00658B22" w14:textId="77777777" w:rsidR="00012176" w:rsidRDefault="00012176" w:rsidP="009B4254"/>
        </w:tc>
      </w:tr>
      <w:tr w:rsidR="00012176" w14:paraId="2197E201" w14:textId="77777777" w:rsidTr="00E27140">
        <w:trPr>
          <w:jc w:val="center"/>
        </w:trPr>
        <w:tc>
          <w:tcPr>
            <w:tcW w:w="9747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2F023BE" w14:textId="77777777" w:rsidR="00012176" w:rsidRDefault="00EC1101" w:rsidP="00EC1101">
            <w:pPr>
              <w:jc w:val="center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footer</w:t>
            </w:r>
            <w:proofErr w:type="spellEnd"/>
            <w:r>
              <w:t>&gt;</w:t>
            </w:r>
          </w:p>
        </w:tc>
      </w:tr>
    </w:tbl>
    <w:p w14:paraId="5AC5F9C2" w14:textId="77777777" w:rsidR="00ED2390" w:rsidRDefault="00ED2390">
      <w:bookmarkStart w:id="0" w:name="_GoBack"/>
      <w:bookmarkEnd w:id="0"/>
    </w:p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4D2872"/>
    <w:rsid w:val="005A1F65"/>
    <w:rsid w:val="006F205A"/>
    <w:rsid w:val="007F57B9"/>
    <w:rsid w:val="00884C57"/>
    <w:rsid w:val="00926523"/>
    <w:rsid w:val="009B4254"/>
    <w:rsid w:val="00B21382"/>
    <w:rsid w:val="00B814C4"/>
    <w:rsid w:val="00E27140"/>
    <w:rsid w:val="00EC1101"/>
    <w:rsid w:val="00ED2390"/>
    <w:rsid w:val="00E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user/insperedu?gl=BR&amp;hl=pt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flickr.com/insper" TargetMode="External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company/insper-instituto-de-ensino-e-pesquisa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facebook.com/insper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twitter.com/insper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3</cp:revision>
  <dcterms:created xsi:type="dcterms:W3CDTF">2014-08-05T13:55:00Z</dcterms:created>
  <dcterms:modified xsi:type="dcterms:W3CDTF">2014-08-05T17:24:00Z</dcterms:modified>
</cp:coreProperties>
</file>