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61CF3606">
                  <wp:extent cx="5270395" cy="16216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95" cy="162166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40"/>
              <w:gridCol w:w="317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7A5BAE6A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</w:t>
                  </w: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753EFD">
                    <w:rPr>
                      <w:rFonts w:ascii="Verdana" w:hAnsi="Verdana"/>
                      <w:b/>
                      <w:sz w:val="18"/>
                      <w:szCs w:val="18"/>
                    </w:rPr>
                    <w:t>professores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54E73893" w14:textId="77777777" w:rsid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sejam bem-vindos a mais um ano letivo!</w:t>
                  </w:r>
                </w:p>
                <w:p w14:paraId="66262FDF" w14:textId="08128D68" w:rsid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Informamos que em janeiro deste ano entrou no ar uma nova versão do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Blackboard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4AC78554" w14:textId="3C2650F2" w:rsidR="00753EFD" w:rsidRPr="00753EFD" w:rsidRDefault="00753EFD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Esta versão 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traz algumas melhorias, com destaque para:</w:t>
                  </w:r>
                </w:p>
                <w:p w14:paraId="2532E077" w14:textId="4F18D52B" w:rsidR="00FD0449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Receber trabalhos dos alunos: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a ferramenta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SafeAssign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foi incorporada à ferramenta Exercício, ou seja, agora será usada apenas a ferramenta Exercício para receber trabalhos (individuais ou em grupo), verificar eventuais plágios e dar feedback com anotações e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rubrics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. Os trabalhos recebidos via </w:t>
                  </w:r>
                  <w:proofErr w:type="spellStart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SafeAssignment</w:t>
                  </w:r>
                  <w:proofErr w:type="spellEnd"/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 antes de 2015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permanecerão disponíveis, sem qualquer alteração. </w:t>
                  </w:r>
                  <w:hyperlink r:id="rId7" w:history="1">
                    <w:r w:rsidRPr="00753EFD">
                      <w:rPr>
                        <w:rStyle w:val="Hyperlink"/>
                        <w:rFonts w:ascii="Verdana" w:hAnsi="Verdana"/>
                        <w:color w:val="B0001D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hyperlink r:id="rId8" w:history="1">
                    <w:r w:rsidR="00793088" w:rsidRPr="00793088">
                      <w:rPr>
                        <w:rStyle w:val="Hyperlink"/>
                        <w:rFonts w:ascii="Verdana" w:hAnsi="Verdana"/>
                        <w:color w:val="B0001D"/>
                        <w:sz w:val="18"/>
                        <w:szCs w:val="18"/>
                        <w:u w:color="B0001D"/>
                      </w:rPr>
                      <w:t>.</w:t>
                    </w:r>
                  </w:hyperlink>
                </w:p>
                <w:p w14:paraId="07F5D181" w14:textId="773389E7" w:rsidR="00753EFD" w:rsidRPr="00753EFD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Simular visualização do ambiente como aluno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: agora é possível simular exatamente como os alunos enxergam o ambiente virtual. Isso facilitará na hora de validar as atividades propostas, bem como na hora de orientar os alunos a desenvolvê-las. </w:t>
                  </w:r>
                  <w:hyperlink r:id="rId9" w:history="1">
                    <w:r w:rsidRPr="00753EFD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hyperlink r:id="rId10" w:history="1">
                    <w:r w:rsidR="00793088" w:rsidRPr="00793088">
                      <w:rPr>
                        <w:rStyle w:val="Hyperlink"/>
                        <w:color w:val="B0001D"/>
                        <w:u w:color="B0001D"/>
                      </w:rPr>
                      <w:t>.</w:t>
                    </w:r>
                  </w:hyperlink>
                </w:p>
                <w:p w14:paraId="50CECC28" w14:textId="3BEA8E34" w:rsidR="00753EFD" w:rsidRPr="00753EFD" w:rsidRDefault="00753EFD" w:rsidP="00753EFD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b/>
                      <w:sz w:val="18"/>
                      <w:szCs w:val="18"/>
                    </w:rPr>
                    <w:t>Organizar alunos em grupos</w:t>
                  </w: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 xml:space="preserve">: agora ficou muito mais fácil fazer a gestão de alunos em grupos no ambiente virtual. Em um painel único é possível ver como a turma está dividida em grupos, fazendo eventuais ajustes rapidamente. </w:t>
                  </w:r>
                  <w:hyperlink r:id="rId11" w:history="1">
                    <w:r w:rsidRPr="00753EFD">
                      <w:rPr>
                        <w:rStyle w:val="Hyperlink"/>
                        <w:rFonts w:ascii="Verdana" w:hAnsi="Verdana"/>
                        <w:color w:val="B0001D"/>
                        <w:sz w:val="18"/>
                        <w:szCs w:val="18"/>
                        <w:u w:color="B0001D"/>
                      </w:rPr>
                      <w:t>Vejam o novo manual</w:t>
                    </w:r>
                  </w:hyperlink>
                  <w:hyperlink r:id="rId12" w:history="1">
                    <w:r w:rsidR="00793088" w:rsidRPr="00793088">
                      <w:rPr>
                        <w:rStyle w:val="Hyperlink"/>
                        <w:color w:val="B0001D"/>
                        <w:u w:color="B0001D"/>
                      </w:rPr>
                      <w:t>.</w:t>
                    </w:r>
                  </w:hyperlink>
                </w:p>
                <w:p w14:paraId="1900EF5F" w14:textId="77777777" w:rsidR="00753EFD" w:rsidRPr="00753EFD" w:rsidRDefault="00753EFD" w:rsidP="00753EFD">
                  <w:pPr>
                    <w:spacing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111F96A5" w14:textId="77777777" w:rsidR="00753EFD" w:rsidRPr="00753EFD" w:rsidRDefault="00753EFD" w:rsidP="00753EFD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3EFD">
                    <w:rPr>
                      <w:rFonts w:ascii="Verdana" w:hAnsi="Verdana"/>
                      <w:sz w:val="18"/>
                      <w:szCs w:val="18"/>
                    </w:rPr>
                    <w:t>Bom trabalho! Qualquer dúvida, contem conosco!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5D3994D9" w:rsidR="00EC1101" w:rsidRPr="00F400A2" w:rsidRDefault="00753EFD" w:rsidP="00EC1101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Equipe DEA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0"/>
                    <w:gridCol w:w="222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2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2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2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  <w:bookmarkStart w:id="0" w:name="_GoBack"/>
        <w:bookmarkEnd w:id="0"/>
      </w:tr>
    </w:tbl>
    <w:p w14:paraId="5AC5F9C2" w14:textId="77777777" w:rsidR="00ED2390" w:rsidRDefault="00ED2390" w:rsidP="00753EFD"/>
    <w:sectPr w:rsidR="00ED2390" w:rsidSect="00753EFD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D5E"/>
    <w:multiLevelType w:val="hybridMultilevel"/>
    <w:tmpl w:val="58A8B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424B5"/>
    <w:multiLevelType w:val="hybridMultilevel"/>
    <w:tmpl w:val="D3EA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266C38"/>
    <w:rsid w:val="002B2992"/>
    <w:rsid w:val="003563F4"/>
    <w:rsid w:val="003B5E89"/>
    <w:rsid w:val="004D2872"/>
    <w:rsid w:val="005A1F65"/>
    <w:rsid w:val="005D2AB4"/>
    <w:rsid w:val="005D6826"/>
    <w:rsid w:val="00612C5C"/>
    <w:rsid w:val="0061416B"/>
    <w:rsid w:val="006F205A"/>
    <w:rsid w:val="00753EFD"/>
    <w:rsid w:val="00793088"/>
    <w:rsid w:val="0079645E"/>
    <w:rsid w:val="007F57B9"/>
    <w:rsid w:val="00812F7F"/>
    <w:rsid w:val="00884C57"/>
    <w:rsid w:val="00926523"/>
    <w:rsid w:val="00962085"/>
    <w:rsid w:val="009776B6"/>
    <w:rsid w:val="00981CDB"/>
    <w:rsid w:val="009B4254"/>
    <w:rsid w:val="009F72DB"/>
    <w:rsid w:val="00AD7BAA"/>
    <w:rsid w:val="00B21382"/>
    <w:rsid w:val="00B814C4"/>
    <w:rsid w:val="00C77732"/>
    <w:rsid w:val="00CC5829"/>
    <w:rsid w:val="00D363EF"/>
    <w:rsid w:val="00D642EC"/>
    <w:rsid w:val="00E005A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776B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sper.blackboard.com/bbcswebdav/institution/TAI/Manuais/html/Blackboard/geral/simular-como-alunos-visualizam-o-ambiente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flickr.com/insper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://www.insper.edu.br/" TargetMode="External"/><Relationship Id="rId24" Type="http://schemas.openxmlformats.org/officeDocument/2006/relationships/image" Target="media/image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insper.blackboard.com/bbcswebdav/institution/TAI/Manuais/html/Blackboard/geral/simular-como-alunos-visualizam-o-ambiente/" TargetMode="External"/><Relationship Id="rId11" Type="http://schemas.openxmlformats.org/officeDocument/2006/relationships/hyperlink" Target="https://insper.blackboard.com/bbcswebdav/institution/TAI/Manuais/html/Blackboard/grupos/criar-alterar-grupos/" TargetMode="External"/><Relationship Id="rId12" Type="http://schemas.openxmlformats.org/officeDocument/2006/relationships/hyperlink" Target="https://insper.blackboard.com/bbcswebdav/institution/TAI/Manuais/html/Blackboard/grupos/criar-alterar-grupos/" TargetMode="External"/><Relationship Id="rId13" Type="http://schemas.openxmlformats.org/officeDocument/2006/relationships/hyperlink" Target="https://www.linkedin.com/company/insper-instituto-de-ensino-e-pesquisa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facebook.com/insper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twitter.com/insper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www.youtube.com/user/insperedu?gl=BR&amp;hl=p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insper.blackboard.com/bbcswebdav/institution/TAI/Manuais/html/Blackboard/trabalhos/receber-trabalhos-com-ou-sem-verificacao-de-plagio/" TargetMode="External"/><Relationship Id="rId8" Type="http://schemas.openxmlformats.org/officeDocument/2006/relationships/hyperlink" Target="https://insper.blackboard.com/bbcswebdav/institution/TAI/Manuais/html/Blackboard/trabalhos/receber-trabalhos-com-ou-sem-verificacao-de-plag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2</cp:revision>
  <dcterms:created xsi:type="dcterms:W3CDTF">2015-01-26T19:15:00Z</dcterms:created>
  <dcterms:modified xsi:type="dcterms:W3CDTF">2015-01-26T19:15:00Z</dcterms:modified>
</cp:coreProperties>
</file>