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right="0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p3fvz0sjej9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Resumen de Ingeniería de Software: Proyecto CanSat</w:t>
      </w:r>
    </w:p>
    <w:p w:rsidR="00000000" w:rsidDel="00000000" w:rsidP="00000000" w:rsidRDefault="00000000" w:rsidRPr="00000000" w14:paraId="00000002">
      <w:pPr>
        <w:spacing w:after="0" w:lineRule="auto"/>
        <w:ind w:right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Responsable:</w:t>
      </w:r>
      <w:r w:rsidDel="00000000" w:rsidR="00000000" w:rsidRPr="00000000">
        <w:rPr>
          <w:color w:val="000000"/>
          <w:rtl w:val="0"/>
        </w:rPr>
        <w:t xml:space="preserve"> Florencia González (ISI 1) - Ingeniería en Sistemas de Información</w:t>
      </w:r>
    </w:p>
    <w:p w:rsidR="00000000" w:rsidDel="00000000" w:rsidP="00000000" w:rsidRDefault="00000000" w:rsidRPr="00000000" w14:paraId="00000003">
      <w:pPr>
        <w:spacing w:after="0" w:lineRule="auto"/>
        <w:ind w:right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Subsistemas a cargo:</w:t>
      </w:r>
      <w:r w:rsidDel="00000000" w:rsidR="00000000" w:rsidRPr="00000000">
        <w:rPr>
          <w:color w:val="000000"/>
          <w:rtl w:val="0"/>
        </w:rPr>
        <w:t xml:space="preserve"> Control y Software de Vuelo, Telemetría, Determinación de Actitud</w:t>
      </w:r>
    </w:p>
    <w:p w:rsidR="00000000" w:rsidDel="00000000" w:rsidP="00000000" w:rsidRDefault="00000000" w:rsidRPr="00000000" w14:paraId="00000004">
      <w:pPr>
        <w:spacing w:after="0" w:lineRule="auto"/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right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4cfgbalxv8j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1. Alcance y Responsabilidades (ISI 1)</w:t>
      </w:r>
    </w:p>
    <w:p w:rsidR="00000000" w:rsidDel="00000000" w:rsidP="00000000" w:rsidRDefault="00000000" w:rsidRPr="00000000" w14:paraId="00000006">
      <w:pPr>
        <w:spacing w:after="0" w:lineRule="auto"/>
        <w:ind w:right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 acuerdo a la planificación oficial del equipo, tus responsabilidades abarcan tres áreas críticas:</w:t>
      </w:r>
    </w:p>
    <w:p w:rsidR="00000000" w:rsidDel="00000000" w:rsidP="00000000" w:rsidRDefault="00000000" w:rsidRPr="00000000" w14:paraId="00000007">
      <w:pPr>
        <w:spacing w:after="0" w:lineRule="auto"/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Misión Principal (Software de Vuelo):</w:t>
      </w:r>
      <w:r w:rsidDel="00000000" w:rsidR="00000000" w:rsidRPr="00000000">
        <w:rPr>
          <w:color w:val="000000"/>
          <w:rtl w:val="0"/>
        </w:rPr>
        <w:t xml:space="preserve"> Eres responsable de la arquitectura de hardware y software del OBC (computadora de a bordo). Esto incluye programar la máquina de estados, la telemetría, la gestión de fallas/reinicios (usando FRAM, RTC y Watchdog) y el algoritmo de vuelo (detección de apogeo y del 80% de la altura máxima para abrir el paracaídas).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Misión Secundaria (Determinación de Actitud):</w:t>
      </w:r>
      <w:r w:rsidDel="00000000" w:rsidR="00000000" w:rsidRPr="00000000">
        <w:rPr>
          <w:color w:val="000000"/>
          <w:rtl w:val="0"/>
        </w:rPr>
        <w:t xml:space="preserve"> Debes diseñar el algoritmo matemático de fusión sensorial combinando los datos de la IMU, el magnetómetro y los sensores solares. Además, gestionarás la comunicación y sincronización de estos datos con el procesador secundario de imágenes.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Sistema de Alimentación:</w:t>
      </w:r>
      <w:r w:rsidDel="00000000" w:rsidR="00000000" w:rsidRPr="00000000">
        <w:rPr>
          <w:color w:val="000000"/>
          <w:rtl w:val="0"/>
        </w:rPr>
        <w:t xml:space="preserve"> Implementarás la gestión por software de los perfiles de consumo energético, leyendo los datos del sensor INA219 para monitorear el estado de la batería.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right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xle1fzsd2bvc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2. Decisiones Arquitectónicas de Hardware y Software</w:t>
      </w:r>
    </w:p>
    <w:tbl>
      <w:tblPr>
        <w:tblStyle w:val="Table1"/>
        <w:tblW w:w="8299.84251968504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5.313482572358"/>
        <w:gridCol w:w="2152.8601757544816"/>
        <w:gridCol w:w="3781.668861358202"/>
        <w:tblGridChange w:id="0">
          <w:tblGrid>
            <w:gridCol w:w="2365.313482572358"/>
            <w:gridCol w:w="2152.8601757544816"/>
            <w:gridCol w:w="3781.668861358202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 /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Decisión Técnica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 de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Microcontrolador Principal (OBC)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STM32 (Familia Cortex-M)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Cuenta con Acceso Directo a Memoria (DMA) para no bloquear el procesador al escribir datos, Watchdog independiente por hardware (IWDG) para máxima robustez y un RTC nativo alimentado por batería.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Procesamiento de Imágenes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Placa Secundaria (Ej. ESP32-CAM o RPi Zero)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STM32 no tiene suficiente RAM para almacenar fotos o matrices pesadas. Separar el hardware asegura que el procesamiento de imágenes no congele al chip principal y bloquee la apertura del paracaídas.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TinyML en placa secundaria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Modelos grandes (como Ollama o LLMs) son inviables por masa y consumo de batería, y carecen de determinismo de respuesta. Usar TinyML (TensorFlow Lite o Edge Impulse) en el procesador secundario permite clasificar el terreno sin arriesgar la misión de vuelo.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Entorno de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PlatformIO (C/C++)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Supera al IDE de Arduino tradicional; permite una gestión rigurosa de dependencias, un mejor autocompletado y una estructura orientada a Sistemas Operativos en Tiempo Real (RTOS).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right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vqp6hzfq7q6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3. Plan de Desarrollo Incremental en 5 Fases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Fase 1: Entorno y Arquitectura Base:</w:t>
      </w:r>
      <w:r w:rsidDel="00000000" w:rsidR="00000000" w:rsidRPr="00000000">
        <w:rPr>
          <w:color w:val="000000"/>
          <w:rtl w:val="0"/>
        </w:rPr>
        <w:t xml:space="preserve"> Creación del proyecto en PlatformIO y programación del esqueleto lógico de la Máquina de Estados Finita (FSM) de manera no bloqueante.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Fase 2: Adquisición y Telemetría Básica:</w:t>
      </w:r>
      <w:r w:rsidDel="00000000" w:rsidR="00000000" w:rsidRPr="00000000">
        <w:rPr>
          <w:color w:val="000000"/>
          <w:rtl w:val="0"/>
        </w:rPr>
        <w:t xml:space="preserve"> Lectura simultánea del barómetro y la IMU, ensamblado de la trama de datos CSV y configuración del temporizador para enviar la telemetría a exactamente 1 Hz.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Fase 3: Manejo de Fallas y Reinicios:</w:t>
      </w:r>
      <w:r w:rsidDel="00000000" w:rsidR="00000000" w:rsidRPr="00000000">
        <w:rPr>
          <w:color w:val="000000"/>
          <w:rtl w:val="0"/>
        </w:rPr>
        <w:t xml:space="preserve"> Programación del guardado de variables críticas en la memoria FRAM, lectura continua del reloj RTC de respaldo y configuración del temporizador Watchdog para recuperarse de cualquier microcorte eléctrico.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Fase 4: Lógica Crítica de Descenso:</w:t>
      </w:r>
      <w:r w:rsidDel="00000000" w:rsidR="00000000" w:rsidRPr="00000000">
        <w:rPr>
          <w:color w:val="000000"/>
          <w:rtl w:val="0"/>
        </w:rPr>
        <w:t xml:space="preserve"> Codificación del algoritmo matemático que detectará la pérdida constante de altitud (apogeo) y disparará las señales a los mecanismos de liberación al pasar la barrera del 80%.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Fase 5: Misión Secundaria y Optimización:</w:t>
      </w:r>
      <w:r w:rsidDel="00000000" w:rsidR="00000000" w:rsidRPr="00000000">
        <w:rPr>
          <w:color w:val="000000"/>
          <w:rtl w:val="0"/>
        </w:rPr>
        <w:t xml:space="preserve"> Fusión de los sensores de orientación, transmisión de los datos etiquetados (altitud, actitud, GPS) a la placa de imágenes por el puerto serial y programación de estados de reducción de consumo energético.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right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4fg6kokw9e6x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Próximos Pasos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color w:val="000000"/>
          <w:rtl w:val="0"/>
        </w:rPr>
        <w:t xml:space="preserve">Estructurar gráficamente el diagrama de la Máquina de Estados (estados y condiciones de transición).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color w:val="000000"/>
          <w:rtl w:val="0"/>
        </w:rPr>
        <w:t xml:space="preserve">Coordinar con Juan (IEM 3) el pinout definitivo del STM32 y los buses de comunicación (I2C/SPI) a utilizar.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right="0" w:hanging="360"/>
        <w:jc w:val="left"/>
      </w:pPr>
      <w:r w:rsidDel="00000000" w:rsidR="00000000" w:rsidRPr="00000000">
        <w:rPr>
          <w:color w:val="000000"/>
          <w:rtl w:val="0"/>
        </w:rPr>
        <w:t xml:space="preserve">Acordar con Agustín (ISI 2) el formato final de la trama de telemetría y el protocolo de intercambio de datos entre la placa principal y la secundaria.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  <w:lang w:val="es"/>
      </w:rPr>
    </w:rPrDefault>
    <w:pPrDefault>
      <w:pPr>
        <w:spacing w:after="225" w:line="276" w:lineRule="auto"/>
        <w:ind w:right="14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Montserrat Black" w:cs="Montserrat Black" w:eastAsia="Montserrat Black" w:hAnsi="Montserrat Black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 Black" w:cs="Montserrat Black" w:eastAsia="Montserrat Black" w:hAnsi="Montserrat Black"/>
      <w:color w:val="1e6b52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  <w:color w:val="1e6b52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jc w:val="left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right="0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Montserrat Black" w:cs="Montserrat Black" w:eastAsia="Montserrat Black" w:hAnsi="Montserrat Black"/>
      <w:color w:val="0e2d3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spacing w:after="225" w:before="0" w:lineRule="auto"/>
    </w:pPr>
    <w:rPr>
      <w:rFonts w:ascii="Arial" w:cs="Arial" w:eastAsia="Arial" w:hAnsi="Arial"/>
      <w:b w:val="1"/>
      <w:bCs w:val="1"/>
      <w:i w:val="1"/>
      <w:iCs w:val="1"/>
      <w:color w:val="4a6b65"/>
      <w:sz w:val="24"/>
      <w:szCs w:val="24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