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before="0"/>
        <w:jc w:val="left"/>
      </w:pPr>
      <w:r>
        <w:rPr>
          <w:rFonts w:ascii="Roboto" w:cs="Roboto" w:eastAsia="Roboto" w:hAnsi="Roboto"/>
          <w:color w:val="555555"/>
          <w:sz w:val="28"/>
          <w:szCs w:val="28"/>
        </w:rPr>
        <w:t xml:space="preserve">Florentin One</w:t>
      </w:r>
    </w:p>
    <w:p>
      <w:pPr>
        <w:spacing w:after="200" w:before="0"/>
        <w:jc w:val="left"/>
      </w:pPr>
      <w:r>
        <w:rPr>
          <w:rFonts w:ascii="Roboto" w:cs="Roboto" w:eastAsia="Roboto" w:hAnsi="Roboto"/>
          <w:b/>
          <w:bCs/>
          <w:color w:val="1A1A1A"/>
          <w:sz w:val="56"/>
          <w:szCs w:val="56"/>
        </w:rPr>
        <w:t xml:space="preserve">MCP Server Ecosystem</w:t>
      </w:r>
    </w:p>
    <w:p>
      <w:pPr>
        <w:spacing w:after="80" w:before="0"/>
        <w:jc w:val="left"/>
      </w:pPr>
      <w:r>
        <w:rPr>
          <w:rFonts w:ascii="Roboto" w:cs="Roboto" w:eastAsia="Roboto" w:hAnsi="Roboto"/>
          <w:b/>
          <w:bCs/>
          <w:color w:val="1A1A1A"/>
          <w:sz w:val="56"/>
          <w:szCs w:val="56"/>
        </w:rPr>
        <w:t xml:space="preserve">Manifesto</w:t>
      </w:r>
    </w:p>
    <w:p>
      <w:pPr>
        <w:spacing w:before="400"/>
      </w:pPr>
    </w:p>
    <w:p>
      <w:pPr>
        <w:spacing w:after="60" w:before="0"/>
        <w:jc w:val="left"/>
      </w:pPr>
      <w:r>
        <w:rPr>
          <w:rFonts w:ascii="Roboto" w:cs="Roboto" w:eastAsia="Roboto" w:hAnsi="Roboto"/>
          <w:color w:val="555555"/>
          <w:sz w:val="24"/>
          <w:szCs w:val="24"/>
        </w:rPr>
        <w:t xml:space="preserve">How structured, auditable AI will reshape our collective future</w:t>
      </w:r>
    </w:p>
    <w:p>
      <w:pPr>
        <w:spacing w:after="60" w:before="0"/>
        <w:jc w:val="left"/>
      </w:pPr>
      <w:r>
        <w:rPr>
          <w:rFonts w:ascii="Roboto" w:cs="Roboto" w:eastAsia="Roboto" w:hAnsi="Roboto"/>
          <w:color w:val="555555"/>
          <w:sz w:val="24"/>
          <w:szCs w:val="24"/>
        </w:rPr>
        <w:t xml:space="preserve">Aligned with the EU AI Act 2026. Grounded in cognitive science.</w:t>
      </w:r>
    </w:p>
    <w:p>
      <w:pPr>
        <w:spacing w:before="600"/>
      </w:pPr>
    </w:p>
    <w:p>
      <w:pPr>
        <w:spacing w:after="40" w:before="0"/>
        <w:jc w:val="left"/>
      </w:pPr>
      <w:r>
        <w:rPr>
          <w:rFonts w:ascii="Roboto" w:cs="Roboto" w:eastAsia="Roboto" w:hAnsi="Roboto"/>
          <w:color w:val="888888"/>
          <w:sz w:val="20"/>
          <w:szCs w:val="20"/>
        </w:rPr>
        <w:t xml:space="preserve">Hannover, Germany</w:t>
      </w:r>
    </w:p>
    <w:p>
      <w:pPr>
        <w:spacing w:after="40" w:before="0"/>
        <w:jc w:val="left"/>
      </w:pPr>
      <w:r>
        <w:rPr>
          <w:rFonts w:ascii="Roboto" w:cs="Roboto" w:eastAsia="Roboto" w:hAnsi="Roboto"/>
          <w:color w:val="888888"/>
          <w:sz w:val="20"/>
          <w:szCs w:val="20"/>
        </w:rPr>
        <w:t xml:space="preserve">Founded by Florentin Sakwiset, July 30, 2026</w:t>
      </w:r>
    </w:p>
    <w:p>
      <w:pPr>
        <w:spacing w:after="40" w:before="0"/>
        <w:jc w:val="left"/>
      </w:pPr>
      <w:r>
        <w:rPr>
          <w:rFonts w:ascii="Roboto" w:cs="Roboto" w:eastAsia="Roboto" w:hAnsi="Roboto"/>
          <w:color w:val="AAAAAA"/>
          <w:sz w:val="18"/>
          <w:szCs w:val="18"/>
        </w:rPr>
        <w:t xml:space="preserve">florentin-one/LSTR on HuggingFace  |  meetclarity.de  |  wemake.cx</w:t>
      </w:r>
    </w:p>
    <w:p>
      <w:r>
        <w:br w:type="page"/>
      </w:r>
    </w:p>
    <w:p>
      <w:pPr>
        <w:spacing w:after="120" w:before="0"/>
        <w:jc w:val="left"/>
      </w:pPr>
      <w:r>
        <w:rPr>
          <w:rFonts w:ascii="Roboto" w:cs="Roboto" w:eastAsia="Roboto" w:hAnsi="Roboto"/>
          <w:b/>
          <w:bCs/>
          <w:color w:val="1A1A1A"/>
          <w:sz w:val="28"/>
          <w:szCs w:val="28"/>
        </w:rPr>
        <w:t xml:space="preserve">Zusammenfassung</w:t>
      </w:r>
    </w:p>
    <w:p>
      <w:pPr>
        <w:spacing w:after="80" w:before="120"/>
        <w:jc w:val="left"/>
      </w:pPr>
      <w:r>
        <w:rPr>
          <w:rFonts w:ascii="Roboto" w:cs="Roboto" w:eastAsia="Roboto" w:hAnsi="Roboto"/>
          <w:color w:val="333333"/>
          <w:sz w:val="22"/>
          <w:szCs w:val="22"/>
        </w:rPr>
        <w:t xml:space="preserve">Dieses Manifest beschreibt das Florentin One MCP Server Ecosystem — eine Infrastruktur für strukturierte, nachvollziehbare KI-Entscheidungsfindung. Es wurde entwickelt als Antwort auf drei fundamentale Probleme:</w:t>
      </w:r>
    </w:p>
    <w:p>
      <w:pPr>
        <w:spacing w:after="80" w:before="120"/>
        <w:jc w:val="left"/>
      </w:pPr>
      <w:r>
        <w:rPr>
          <w:rFonts w:ascii="Roboto" w:cs="Roboto" w:eastAsia="Roboto" w:hAnsi="Roboto"/>
          <w:color w:val="333333"/>
          <w:sz w:val="22"/>
          <w:szCs w:val="22"/>
        </w:rPr>
        <w:t xml:space="preserve">1. Die kognitive Verschuldung ("Cognitive Debt"), die durch unreflektierte Nutzung von Black-Box-LLMs entsteht — empirisch belegt durch EEG-Studien (Kosmyna et al., 2025), die eine um 55 % reduzierte neuronale Konnektivität bei LLM-Nutzern nachweisen.</w:t>
      </w:r>
    </w:p>
    <w:p>
      <w:pPr>
        <w:spacing w:after="80" w:before="120"/>
        <w:jc w:val="left"/>
      </w:pPr>
      <w:r>
        <w:rPr>
          <w:rFonts w:ascii="Roboto" w:cs="Roboto" w:eastAsia="Roboto" w:hAnsi="Roboto"/>
          <w:color w:val="333333"/>
          <w:sz w:val="22"/>
          <w:szCs w:val="22"/>
        </w:rPr>
        <w:t xml:space="preserve">2. Die regulatorischen Anforderungen des EU AI Act 2026 (Digital Omnibus), insbesondere Transparenzpflichten (Art. 50), menschliche Aufsicht (Art. 14) und KI-Kompetenz (Art. 4).</w:t>
      </w:r>
    </w:p>
    <w:p>
      <w:pPr>
        <w:spacing w:after="80" w:before="120"/>
        <w:jc w:val="left"/>
      </w:pPr>
      <w:r>
        <w:rPr>
          <w:rFonts w:ascii="Roboto" w:cs="Roboto" w:eastAsia="Roboto" w:hAnsi="Roboto"/>
          <w:color w:val="333333"/>
          <w:sz w:val="22"/>
          <w:szCs w:val="22"/>
        </w:rPr>
        <w:t xml:space="preserve">3. Das berechtigte Misstrauen deutschsprachiger Fachleute — Prosumer, Forscher und medizinische Experten — gegenüber transformerbasierten LLMs, die als undurchschaubare Black Boxes operieren.</w:t>
      </w:r>
    </w:p>
    <w:p>
      <w:pPr>
        <w:spacing w:after="80" w:before="120"/>
        <w:jc w:val="left"/>
      </w:pPr>
      <w:r>
        <w:rPr>
          <w:rFonts w:ascii="Roboto" w:cs="Roboto" w:eastAsia="Roboto" w:hAnsi="Roboto"/>
          <w:color w:val="333333"/>
          <w:sz w:val="22"/>
          <w:szCs w:val="22"/>
        </w:rPr>
        <w:t xml:space="preserve">Das MCP Server Ecosystem ersetzt den undurchschaubaren Monolithen durch sieben spezialisierte, auditierbare kognitive Funktionen. Jede Ausgabe enthält: Identitätsverstärkung, Reasoning-Transparenz, Konfidenzkalibrierung, Multi-Perspektiven-Analyse und Edge-Case-Betrachtung. Kein Black-Box-Denken. Nachvollziehbar. Herausforderbar. Verifizierbar.</w:t>
      </w:r>
    </w:p>
    <w:p>
      <w:pPr>
        <w:spacing w:after="80" w:before="120"/>
        <w:jc w:val="left"/>
      </w:pPr>
      <w:r>
        <w:rPr>
          <w:rFonts w:ascii="Roboto" w:cs="Roboto" w:eastAsia="Roboto" w:hAnsi="Roboto"/>
          <w:color w:val="333333"/>
          <w:sz w:val="22"/>
          <w:szCs w:val="22"/>
        </w:rPr>
        <w:t xml:space="preserve">Zielgruppe: Deutschsprachige Prosumer, Forscher und medizinische Experten, die KI nicht blind vertrauen, sondern verstehen wollen.</w:t>
      </w:r>
    </w:p>
    <w:p>
      <w:r>
        <w:br w:type="page"/>
      </w:r>
    </w:p>
    <w:p>
      <w:pPr>
        <w:spacing w:after="0" w:before="0"/>
        <w:jc w:val="left"/>
      </w:pPr>
      <w:r>
        <w:rPr>
          <w:rFonts w:ascii="Roboto" w:cs="Roboto" w:eastAsia="Roboto" w:hAnsi="Roboto"/>
          <w:b/>
          <w:bCs/>
          <w:color w:val="1A1A1A"/>
          <w:sz w:val="120"/>
          <w:szCs w:val="120"/>
        </w:rPr>
        <w:t xml:space="preserve">01</w:t>
      </w:r>
    </w:p>
    <w:p>
      <w:pPr>
        <w:spacing w:after="200" w:before="0"/>
        <w:jc w:val="left"/>
      </w:pPr>
      <w:r>
        <w:rPr>
          <w:rFonts w:ascii="Roboto" w:cs="Roboto" w:eastAsia="Roboto" w:hAnsi="Roboto"/>
          <w:b/>
          <w:bCs/>
          <w:color w:val="1A1A1A"/>
          <w:sz w:val="36"/>
          <w:szCs w:val="36"/>
        </w:rPr>
        <w:t xml:space="preserve">OUR BRAINS WERE NOT BUILT FOR BLACK-BOX REASONING</w:t>
      </w:r>
    </w:p>
    <w:p>
      <w:pPr>
        <w:spacing w:after="80" w:before="120"/>
        <w:jc w:val="left"/>
      </w:pPr>
      <w:r>
        <w:rPr>
          <w:rFonts w:ascii="Roboto" w:cs="Roboto" w:eastAsia="Roboto" w:hAnsi="Roboto"/>
          <w:color w:val="333333"/>
          <w:sz w:val="22"/>
          <w:szCs w:val="22"/>
        </w:rPr>
        <w:t xml:space="preserve">Human cognition evolved over millions of years to process transparent cause-and-effect. We learned to trust what we could observe, verify, and explain. Then came the transformer.</w:t>
      </w:r>
    </w:p>
    <w:p>
      <w:pPr>
        <w:spacing w:after="80" w:before="120"/>
        <w:jc w:val="left"/>
      </w:pPr>
      <w:r>
        <w:rPr>
          <w:rFonts w:ascii="Roboto" w:cs="Roboto" w:eastAsia="Roboto" w:hAnsi="Roboto"/>
          <w:color w:val="333333"/>
          <w:sz w:val="22"/>
          <w:szCs w:val="22"/>
        </w:rPr>
        <w:t xml:space="preserve">Transformer-based large language models — ChatGPT, Claude, Gemini — operate as inscrutable black boxes. They generate fluent, confident-sounding text through probabilistic token prediction. They do not reason. They do not verify. They do not show their work. Yet we increasingly delegate cognitive labor to them.</w:t>
      </w:r>
    </w:p>
    <w:p>
      <w:pPr>
        <w:spacing w:after="80" w:before="120"/>
        <w:jc w:val="left"/>
      </w:pPr>
      <w:r>
        <w:rPr>
          <w:rFonts w:ascii="Roboto" w:cs="Roboto" w:eastAsia="Roboto" w:hAnsi="Roboto"/>
          <w:color w:val="333333"/>
          <w:sz w:val="22"/>
          <w:szCs w:val="22"/>
        </w:rPr>
        <w:t xml:space="preserve">The results are now empirically measurable. Kosmyna et al. (2025) conducted the first comprehensive EEG study of LLM-assisted cognition.¹ Participants using ChatGPT for essay writing exhibited up to 55 % weaker neural connectivity compared to those who wrote without tools. Brain regions that should activate during deep cognitive engagement instead showed diminished activity — a pattern the researchers termed "cognitive debt."</w:t>
      </w:r>
    </w:p>
    <w:p>
      <w:pPr>
        <w:spacing w:after="80" w:before="120"/>
        <w:jc w:val="left"/>
      </w:pPr>
      <w:r>
        <w:rPr>
          <w:rFonts w:ascii="Roboto" w:cs="Roboto" w:eastAsia="Roboto" w:hAnsi="Roboto"/>
          <w:color w:val="333333"/>
          <w:sz w:val="22"/>
          <w:szCs w:val="22"/>
        </w:rPr>
        <w:t xml:space="preserve">This is not speculation. This is neurophysiological evidence that black-box AI fundamentally restructures how our brains process and retain information. The convenience is real. The cost is measurable. And the cost compounds with every interaction.</w:t>
      </w:r>
    </w:p>
    <w:p>
      <w:pPr>
        <w:spacing w:after="40" w:before="40"/>
        <w:jc w:val="left"/>
      </w:pPr>
      <w:r>
        <w:rPr>
          <w:rFonts w:ascii="Roboto" w:cs="Roboto" w:eastAsia="Roboto" w:hAnsi="Roboto"/>
          <w:i/>
          <w:iCs/>
          <w:color w:val="888888"/>
          <w:sz w:val="18"/>
          <w:szCs w:val="18"/>
        </w:rPr>
        <w:t xml:space="preserve">¹ Kosmyna, N., Hauptmann, E., Yuan, Y. T., et al. (2025). Your Brain on ChatGPT: Accumulation of Cognitive Debt when Using an AI Assistant for Essay Writing Task. arXiv:2506.08872. https://doi.org/10.48550/arXiv.2506.08872</w:t>
      </w:r>
    </w:p>
    <w:p>
      <w:r>
        <w:br w:type="page"/>
      </w:r>
    </w:p>
    <w:p>
      <w:pPr>
        <w:spacing w:after="0" w:before="0"/>
        <w:jc w:val="left"/>
      </w:pPr>
      <w:r>
        <w:rPr>
          <w:rFonts w:ascii="Roboto" w:cs="Roboto" w:eastAsia="Roboto" w:hAnsi="Roboto"/>
          <w:b/>
          <w:bCs/>
          <w:color w:val="1A1A1A"/>
          <w:sz w:val="120"/>
          <w:szCs w:val="120"/>
        </w:rPr>
        <w:t xml:space="preserve">02</w:t>
      </w:r>
    </w:p>
    <w:p>
      <w:pPr>
        <w:spacing w:after="200" w:before="0"/>
        <w:jc w:val="left"/>
      </w:pPr>
      <w:r>
        <w:rPr>
          <w:rFonts w:ascii="Roboto" w:cs="Roboto" w:eastAsia="Roboto" w:hAnsi="Roboto"/>
          <w:b/>
          <w:bCs/>
          <w:color w:val="1A1A1A"/>
          <w:sz w:val="36"/>
          <w:szCs w:val="36"/>
        </w:rPr>
        <w:t xml:space="preserve">COGNITIVE DEBT IS THE REAL COST OF AI CONVENIENCE</w:t>
      </w:r>
    </w:p>
    <w:p>
      <w:pPr>
        <w:spacing w:after="80" w:before="120"/>
        <w:jc w:val="left"/>
      </w:pPr>
      <w:r>
        <w:rPr>
          <w:rFonts w:ascii="Roboto" w:cs="Roboto" w:eastAsia="Roboto" w:hAnsi="Roboto"/>
          <w:color w:val="333333"/>
          <w:sz w:val="22"/>
          <w:szCs w:val="22"/>
        </w:rPr>
        <w:t xml:space="preserve">The term "cognitive debt" describes a specific mechanism: AI systems spare the user mental effort in the short term while generating long-term cognitive costs. These costs include diminished critical thinking, reduced creativity and independent thought, increased vulnerability to bias and manipulation, and shallow information processing.</w:t>
      </w:r>
    </w:p>
    <w:p>
      <w:pPr>
        <w:spacing w:after="80" w:before="120"/>
        <w:jc w:val="left"/>
      </w:pPr>
      <w:r>
        <w:rPr>
          <w:rFonts w:ascii="Roboto" w:cs="Roboto" w:eastAsia="Roboto" w:hAnsi="Roboto"/>
          <w:color w:val="333333"/>
          <w:sz w:val="22"/>
          <w:szCs w:val="22"/>
        </w:rPr>
        <w:t xml:space="preserve">The data is stark. In the MIT Media Lab study:</w:t>
      </w:r>
    </w:p>
    <w:p>
      <w:pPr>
        <w:spacing w:after="80" w:before="80"/>
        <w:jc w:val="left"/>
      </w:pPr>
      <w:r>
        <w:rPr>
          <w:rFonts w:ascii="Roboto" w:cs="Roboto" w:eastAsia="Roboto" w:hAnsi="Roboto"/>
          <w:color w:val="333333"/>
          <w:sz w:val="22"/>
          <w:szCs w:val="22"/>
        </w:rPr>
        <w:t xml:space="preserve">83 % of LLM users were unable to quote any passage from essays they had just written. Their sense of authorship was fragmented — they could produce text but could not remember or defend it.</w:t>
      </w:r>
    </w:p>
    <w:p>
      <w:pPr>
        <w:spacing w:after="80" w:before="80"/>
        <w:jc w:val="left"/>
      </w:pPr>
      <w:r>
        <w:rPr>
          <w:rFonts w:ascii="Roboto" w:cs="Roboto" w:eastAsia="Roboto" w:hAnsi="Roboto"/>
          <w:color w:val="333333"/>
          <w:sz w:val="22"/>
          <w:szCs w:val="22"/>
        </w:rPr>
        <w:t xml:space="preserve">LLM-generated essays were statistically homogeneous within topics, showing significantly less variation than essays from non-AI groups. LLM users employed 2–3 times more named entities (facts, dates, names) yet demonstrated less original thinking.</w:t>
      </w:r>
    </w:p>
    <w:p>
      <w:pPr>
        <w:spacing w:after="80" w:before="80"/>
        <w:jc w:val="left"/>
      </w:pPr>
      <w:r>
        <w:rPr>
          <w:rFonts w:ascii="Roboto" w:cs="Roboto" w:eastAsia="Roboto" w:hAnsi="Roboto"/>
          <w:color w:val="333333"/>
          <w:sz w:val="22"/>
          <w:szCs w:val="22"/>
        </w:rPr>
        <w:t xml:space="preserve">When LLM users attempted to write without AI assistance (Session 4), 78 % still could not quote their own work. Neural connectivity remained suppressed — evidence that cognitive debt persists beyond the moment of tool use.</w:t>
      </w:r>
    </w:p>
    <w:p>
      <w:pPr>
        <w:spacing w:after="80" w:before="120"/>
        <w:jc w:val="left"/>
      </w:pPr>
      <w:r>
        <w:rPr>
          <w:rFonts w:ascii="Roboto" w:cs="Roboto" w:eastAsia="Roboto" w:hAnsi="Roboto"/>
          <w:color w:val="333333"/>
          <w:sz w:val="22"/>
          <w:szCs w:val="22"/>
        </w:rPr>
        <w:t xml:space="preserve">These findings align with a growing body of research. Shaw &amp; Nave (2026) describe "cognitive surrender" — the progressive atrophy of independent reasoning faculties.² The APA Monitor (2026) documents "executive function attenuation" in high-use adults.³ Branda &amp; Ciccozzi (2026) argue that cognitive sovereignty — the capacity to think without algorithmic mediation — must become a protected value in AI-driven domains.⁴</w:t>
      </w:r>
    </w:p>
    <w:p>
      <w:pPr>
        <w:spacing w:after="80" w:before="120"/>
        <w:jc w:val="left"/>
      </w:pPr>
      <w:r>
        <w:rPr>
          <w:rFonts w:ascii="Roboto" w:cs="Roboto" w:eastAsia="Roboto" w:hAnsi="Roboto"/>
          <w:color w:val="333333"/>
          <w:sz w:val="22"/>
          <w:szCs w:val="22"/>
        </w:rPr>
        <w:t xml:space="preserve">The pattern is consistent: AI that substitutes for thinking produces thinkers who cannot think independently. This is not a technology problem. It is a design problem.</w:t>
      </w:r>
    </w:p>
    <w:p>
      <w:pPr>
        <w:spacing w:after="40" w:before="40"/>
        <w:jc w:val="left"/>
      </w:pPr>
      <w:r>
        <w:rPr>
          <w:rFonts w:ascii="Roboto" w:cs="Roboto" w:eastAsia="Roboto" w:hAnsi="Roboto"/>
          <w:i/>
          <w:iCs/>
          <w:color w:val="888888"/>
          <w:sz w:val="18"/>
          <w:szCs w:val="18"/>
        </w:rPr>
        <w:t xml:space="preserve">² Shaw, S. D., &amp; Nave, G. (2026). Thinking-fast, slow, and artificial: How AI is reshaping human reasoning and the rise of cognitive surrender. PsyArXiv.</w:t>
      </w:r>
    </w:p>
    <w:p>
      <w:pPr>
        <w:spacing w:after="40" w:before="40"/>
        <w:jc w:val="left"/>
      </w:pPr>
      <w:r>
        <w:rPr>
          <w:rFonts w:ascii="Roboto" w:cs="Roboto" w:eastAsia="Roboto" w:hAnsi="Roboto"/>
          <w:i/>
          <w:iCs/>
          <w:color w:val="888888"/>
          <w:sz w:val="18"/>
          <w:szCs w:val="18"/>
        </w:rPr>
        <w:t xml:space="preserve">³ Baldeo, S. (2026). Generative AI reliance and executive function attenuation. Technology, Mind, and Behavior.</w:t>
      </w:r>
    </w:p>
    <w:p>
      <w:pPr>
        <w:spacing w:after="40" w:before="40"/>
        <w:jc w:val="left"/>
      </w:pPr>
      <w:r>
        <w:rPr>
          <w:rFonts w:ascii="Roboto" w:cs="Roboto" w:eastAsia="Roboto" w:hAnsi="Roboto"/>
          <w:i/>
          <w:iCs/>
          <w:color w:val="888888"/>
          <w:sz w:val="18"/>
          <w:szCs w:val="18"/>
        </w:rPr>
        <w:t xml:space="preserve">⁴ Branda, F., &amp; Ciccozzi, M. (2026). The comfort of automation: Why cognitive sovereignty matters in AI-driven life sciences.</w:t>
      </w:r>
    </w:p>
    <w:p>
      <w:r>
        <w:br w:type="page"/>
      </w:r>
    </w:p>
    <w:p>
      <w:pPr>
        <w:spacing w:after="0" w:before="0"/>
        <w:jc w:val="left"/>
      </w:pPr>
      <w:r>
        <w:rPr>
          <w:rFonts w:ascii="Roboto" w:cs="Roboto" w:eastAsia="Roboto" w:hAnsi="Roboto"/>
          <w:b/>
          <w:bCs/>
          <w:color w:val="1A1A1A"/>
          <w:sz w:val="120"/>
          <w:szCs w:val="120"/>
        </w:rPr>
        <w:t xml:space="preserve">03</w:t>
      </w:r>
    </w:p>
    <w:p>
      <w:pPr>
        <w:spacing w:after="200" w:before="0"/>
        <w:jc w:val="left"/>
      </w:pPr>
      <w:r>
        <w:rPr>
          <w:rFonts w:ascii="Roboto" w:cs="Roboto" w:eastAsia="Roboto" w:hAnsi="Roboto"/>
          <w:b/>
          <w:bCs/>
          <w:color w:val="1A1A1A"/>
          <w:sz w:val="36"/>
          <w:szCs w:val="36"/>
        </w:rPr>
        <w:t xml:space="preserve">TRANSPARENCY IS NOT OPTIONAL — IT IS REGULATED</w:t>
      </w:r>
    </w:p>
    <w:p>
      <w:pPr>
        <w:spacing w:after="80" w:before="120"/>
        <w:jc w:val="left"/>
      </w:pPr>
      <w:r>
        <w:rPr>
          <w:rFonts w:ascii="Roboto" w:cs="Roboto" w:eastAsia="Roboto" w:hAnsi="Roboto"/>
          <w:color w:val="333333"/>
          <w:sz w:val="22"/>
          <w:szCs w:val="22"/>
        </w:rPr>
        <w:t xml:space="preserve">The European Union has codified what cognitive science now proves: opaque AI systems pose systemic risk. The EU AI Act, adopted in June 2024 and amended by the Digital Omnibus in May 2026, establishes legally binding transparency requirements.</w:t>
      </w:r>
    </w:p>
    <w:p>
      <w:pPr>
        <w:spacing w:after="80" w:before="120"/>
        <w:jc w:val="left"/>
      </w:pPr>
      <w:r>
        <w:rPr>
          <w:rFonts w:ascii="Roboto" w:cs="Roboto" w:eastAsia="Roboto" w:hAnsi="Roboto"/>
          <w:color w:val="333333"/>
          <w:sz w:val="22"/>
          <w:szCs w:val="22"/>
        </w:rPr>
        <w:t xml:space="preserve">Article 50 mandates that AI systems generating synthetic content must ensure outputs are detectable as artificially generated or manipulated. From December 2026, providers of AI systems on the EU market MUST mark outputs in machine-readable format.⁵</w:t>
      </w:r>
    </w:p>
    <w:p>
      <w:pPr>
        <w:spacing w:after="80" w:before="120"/>
        <w:jc w:val="left"/>
      </w:pPr>
      <w:r>
        <w:rPr>
          <w:rFonts w:ascii="Roboto" w:cs="Roboto" w:eastAsia="Roboto" w:hAnsi="Roboto"/>
          <w:color w:val="333333"/>
          <w:sz w:val="22"/>
          <w:szCs w:val="22"/>
        </w:rPr>
        <w:t xml:space="preserve">Article 14 requires human oversight for high-risk AI systems — not as an afterthought, but as a design requirement built into the system from conception.⁶</w:t>
      </w:r>
    </w:p>
    <w:p>
      <w:pPr>
        <w:spacing w:after="80" w:before="120"/>
        <w:jc w:val="left"/>
      </w:pPr>
      <w:r>
        <w:rPr>
          <w:rFonts w:ascii="Roboto" w:cs="Roboto" w:eastAsia="Roboto" w:hAnsi="Roboto"/>
          <w:color w:val="333333"/>
          <w:sz w:val="22"/>
          <w:szCs w:val="22"/>
        </w:rPr>
        <w:t xml:space="preserve">Article 4, as amended by the Digital Omnibus, requires organizations to "take measures to support the development of AI literacy" among staff and anyone dealing with AI systems on their behalf. The obligation shifted from "ensure" to "support" — but the mandate remains: users must understand what AI does, how it works, and what its limitations are.⁷</w:t>
      </w:r>
    </w:p>
    <w:p>
      <w:pPr>
        <w:spacing w:after="80" w:before="120"/>
        <w:jc w:val="left"/>
      </w:pPr>
      <w:r>
        <w:rPr>
          <w:rFonts w:ascii="Roboto" w:cs="Roboto" w:eastAsia="Roboto" w:hAnsi="Roboto"/>
          <w:color w:val="333333"/>
          <w:sz w:val="22"/>
          <w:szCs w:val="22"/>
        </w:rPr>
        <w:t xml:space="preserve">These regulations are not compliance checkboxes. They are collective recognition that delegating decisions to opaque systems without explanation, without audit trails, and without calibrated confidence is incompatible with democratic accountability.</w:t>
      </w:r>
    </w:p>
    <w:p>
      <w:pPr>
        <w:spacing w:after="80" w:before="120"/>
        <w:jc w:val="left"/>
      </w:pPr>
      <w:r>
        <w:rPr>
          <w:rFonts w:ascii="Roboto" w:cs="Roboto" w:eastAsia="Roboto" w:hAnsi="Roboto"/>
          <w:color w:val="333333"/>
          <w:sz w:val="22"/>
          <w:szCs w:val="22"/>
        </w:rPr>
        <w:t xml:space="preserve">Germany has additional requirements: GDPR data minimization, the right to explanation (Art. 22 GDPR), Betriebsrat co-determination rights for workplace AI deployment, and emerging TÜV-style AI certification frameworks. German data sovereignty is not negotiable. Neither is German engineering precision.</w:t>
      </w:r>
    </w:p>
    <w:p>
      <w:pPr>
        <w:spacing w:after="40" w:before="40"/>
        <w:jc w:val="left"/>
      </w:pPr>
      <w:r>
        <w:rPr>
          <w:rFonts w:ascii="Roboto" w:cs="Roboto" w:eastAsia="Roboto" w:hAnsi="Roboto"/>
          <w:i/>
          <w:iCs/>
          <w:color w:val="888888"/>
          <w:sz w:val="18"/>
          <w:szCs w:val="18"/>
        </w:rPr>
        <w:t xml:space="preserve">⁵ EU AI Act, Article 50(2). Transparency obligations for providers and deployers of certain AI systems.</w:t>
      </w:r>
    </w:p>
    <w:p>
      <w:pPr>
        <w:spacing w:after="40" w:before="40"/>
        <w:jc w:val="left"/>
      </w:pPr>
      <w:r>
        <w:rPr>
          <w:rFonts w:ascii="Roboto" w:cs="Roboto" w:eastAsia="Roboto" w:hAnsi="Roboto"/>
          <w:i/>
          <w:iCs/>
          <w:color w:val="888888"/>
          <w:sz w:val="18"/>
          <w:szCs w:val="18"/>
        </w:rPr>
        <w:t xml:space="preserve">⁶ EU AI Act, Article 14. Human oversight.</w:t>
      </w:r>
    </w:p>
    <w:p>
      <w:pPr>
        <w:spacing w:after="40" w:before="40"/>
        <w:jc w:val="left"/>
      </w:pPr>
      <w:r>
        <w:rPr>
          <w:rFonts w:ascii="Roboto" w:cs="Roboto" w:eastAsia="Roboto" w:hAnsi="Roboto"/>
          <w:i/>
          <w:iCs/>
          <w:color w:val="888888"/>
          <w:sz w:val="18"/>
          <w:szCs w:val="18"/>
        </w:rPr>
        <w:t xml:space="preserve">⁷ EU AI Act, Article 4 (as amended by Digital Omnibus on AI, May 2026). AI literacy.</w:t>
      </w:r>
    </w:p>
    <w:p>
      <w:r>
        <w:br w:type="page"/>
      </w:r>
    </w:p>
    <w:p>
      <w:pPr>
        <w:spacing w:after="0" w:before="0"/>
        <w:jc w:val="left"/>
      </w:pPr>
      <w:r>
        <w:rPr>
          <w:rFonts w:ascii="Roboto" w:cs="Roboto" w:eastAsia="Roboto" w:hAnsi="Roboto"/>
          <w:b/>
          <w:bCs/>
          <w:color w:val="1A1A1A"/>
          <w:sz w:val="120"/>
          <w:szCs w:val="120"/>
        </w:rPr>
        <w:t xml:space="preserve">04</w:t>
      </w:r>
    </w:p>
    <w:p>
      <w:pPr>
        <w:spacing w:after="200" w:before="0"/>
        <w:jc w:val="left"/>
      </w:pPr>
      <w:r>
        <w:rPr>
          <w:rFonts w:ascii="Roboto" w:cs="Roboto" w:eastAsia="Roboto" w:hAnsi="Roboto"/>
          <w:b/>
          <w:bCs/>
          <w:color w:val="1A1A1A"/>
          <w:sz w:val="36"/>
          <w:szCs w:val="36"/>
        </w:rPr>
        <w:t xml:space="preserve">WE NEED AI THAT SHOWS ITS WORK</w:t>
      </w:r>
    </w:p>
    <w:p>
      <w:pPr>
        <w:spacing w:after="80" w:before="120"/>
        <w:jc w:val="left"/>
      </w:pPr>
      <w:r>
        <w:rPr>
          <w:rFonts w:ascii="Roboto" w:cs="Roboto" w:eastAsia="Roboto" w:hAnsi="Roboto"/>
          <w:color w:val="333333"/>
          <w:sz w:val="22"/>
          <w:szCs w:val="22"/>
        </w:rPr>
        <w:t xml:space="preserve">The alternative to black-box AI is not less AI. It is transparent AI — systems that reveal their reasoning, calibrate their confidence, and invite challenge.</w:t>
      </w:r>
    </w:p>
    <w:p>
      <w:pPr>
        <w:spacing w:after="80" w:before="120"/>
        <w:jc w:val="left"/>
      </w:pPr>
      <w:r>
        <w:rPr>
          <w:rFonts w:ascii="Roboto" w:cs="Roboto" w:eastAsia="Roboto" w:hAnsi="Roboto"/>
          <w:color w:val="333333"/>
          <w:sz w:val="22"/>
          <w:szCs w:val="22"/>
        </w:rPr>
        <w:t xml:space="preserve">The Florentin One MCP Server Ecosystem is that alternative. It decomposes the monolithic LLM into seven specialized, auditable cognitive functions, each exposed as a Model Context Protocol (MCP) server:</w:t>
      </w:r>
    </w:p>
    <w:p>
      <w:pPr>
        <w:spacing w:after="80" w:before="120"/>
        <w:jc w:val="left"/>
      </w:pPr>
      <w:r>
        <w:rPr>
          <w:rFonts w:ascii="Roboto" w:cs="Roboto" w:eastAsia="Roboto" w:hAnsi="Roboto"/>
          <w:color w:val="333333"/>
          <w:sz w:val="22"/>
          <w:szCs w:val="22"/>
        </w:rPr>
        <w:t xml:space="preserve"/>
      </w:r>
    </w:p>
    <w:p>
      <w:pPr>
        <w:spacing w:after="80" w:before="60"/>
        <w:jc w:val="left"/>
      </w:pPr>
      <w:r>
        <w:rPr>
          <w:rFonts w:ascii="Roboto" w:cs="Roboto" w:eastAsia="Roboto" w:hAnsi="Roboto"/>
          <w:b/>
          <w:bCs/>
          <w:color w:val="333333"/>
          <w:sz w:val="22"/>
          <w:szCs w:val="22"/>
        </w:rPr>
        <w:t xml:space="preserve">metacognitiveMonitoring</w:t>
      </w:r>
      <w:r>
        <w:rPr>
          <w:rFonts w:ascii="Roboto" w:cs="Roboto" w:eastAsia="Roboto" w:hAnsi="Roboto"/>
          <w:color w:val="333333"/>
          <w:sz w:val="22"/>
          <w:szCs w:val="22"/>
        </w:rPr>
        <w:t xml:space="preserve"> — Evaluates knowledge boundaries, classifies claims (fact vs. inference vs. speculation), and calibrates confidence (0.0–1.0) for every critical assertion.</w:t>
      </w:r>
    </w:p>
    <w:p>
      <w:pPr>
        <w:spacing w:after="80" w:before="60"/>
        <w:jc w:val="left"/>
      </w:pPr>
      <w:r>
        <w:rPr>
          <w:rFonts w:ascii="Roboto" w:cs="Roboto" w:eastAsia="Roboto" w:hAnsi="Roboto"/>
          <w:b/>
          <w:bCs/>
          <w:color w:val="333333"/>
          <w:sz w:val="22"/>
          <w:szCs w:val="22"/>
        </w:rPr>
        <w:t xml:space="preserve">sequentialThinking</w:t>
      </w:r>
      <w:r>
        <w:rPr>
          <w:rFonts w:ascii="Roboto" w:cs="Roboto" w:eastAsia="Roboto" w:hAnsi="Roboto"/>
          <w:color w:val="333333"/>
          <w:sz w:val="22"/>
          <w:szCs w:val="22"/>
        </w:rPr>
        <w:t xml:space="preserve"> — Breaks complex problems into discrete, logical sub-tasks with documented thought steps. No hidden reasoning. No skipped steps.</w:t>
      </w:r>
    </w:p>
    <w:p>
      <w:pPr>
        <w:spacing w:after="80" w:before="60"/>
        <w:jc w:val="left"/>
      </w:pPr>
      <w:r>
        <w:rPr>
          <w:rFonts w:ascii="Roboto" w:cs="Roboto" w:eastAsia="Roboto" w:hAnsi="Roboto"/>
          <w:b/>
          <w:bCs/>
          <w:color w:val="333333"/>
          <w:sz w:val="22"/>
          <w:szCs w:val="22"/>
        </w:rPr>
        <w:t xml:space="preserve">collaborativeReasoning</w:t>
      </w:r>
      <w:r>
        <w:rPr>
          <w:rFonts w:ascii="Roboto" w:cs="Roboto" w:eastAsia="Roboto" w:hAnsi="Roboto"/>
          <w:color w:val="333333"/>
          <w:sz w:val="22"/>
          <w:szCs w:val="22"/>
        </w:rPr>
        <w:t xml:space="preserve"> — Simulates diverse expert perspectives and evaluates problems from at least two distinct viewpoints before concluding.</w:t>
      </w:r>
    </w:p>
    <w:p>
      <w:pPr>
        <w:spacing w:after="80" w:before="60"/>
        <w:jc w:val="left"/>
      </w:pPr>
      <w:r>
        <w:rPr>
          <w:rFonts w:ascii="Roboto" w:cs="Roboto" w:eastAsia="Roboto" w:hAnsi="Roboto"/>
          <w:b/>
          <w:bCs/>
          <w:color w:val="333333"/>
          <w:sz w:val="22"/>
          <w:szCs w:val="22"/>
        </w:rPr>
        <w:t xml:space="preserve">scientificMethod</w:t>
      </w:r>
      <w:r>
        <w:rPr>
          <w:rFonts w:ascii="Roboto" w:cs="Roboto" w:eastAsia="Roboto" w:hAnsi="Roboto"/>
          <w:color w:val="333333"/>
          <w:sz w:val="22"/>
          <w:szCs w:val="22"/>
        </w:rPr>
        <w:t xml:space="preserve"> — Performs systematic hypothesis testing. Claims are treated as falsifiable, not assumed.</w:t>
      </w:r>
    </w:p>
    <w:p>
      <w:pPr>
        <w:spacing w:after="80" w:before="60"/>
        <w:jc w:val="left"/>
      </w:pPr>
      <w:r>
        <w:rPr>
          <w:rFonts w:ascii="Roboto" w:cs="Roboto" w:eastAsia="Roboto" w:hAnsi="Roboto"/>
          <w:b/>
          <w:bCs/>
          <w:color w:val="333333"/>
          <w:sz w:val="22"/>
          <w:szCs w:val="22"/>
        </w:rPr>
        <w:t xml:space="preserve">structuredArgumentation</w:t>
      </w:r>
      <w:r>
        <w:rPr>
          <w:rFonts w:ascii="Roboto" w:cs="Roboto" w:eastAsia="Roboto" w:hAnsi="Roboto"/>
          <w:color w:val="333333"/>
          <w:sz w:val="22"/>
          <w:szCs w:val="22"/>
        </w:rPr>
        <w:t xml:space="preserve"> — Validates logical premises and inference strength. Arguments are laid bare for inspection.</w:t>
      </w:r>
    </w:p>
    <w:p>
      <w:pPr>
        <w:spacing w:after="80" w:before="60"/>
        <w:jc w:val="left"/>
      </w:pPr>
      <w:r>
        <w:rPr>
          <w:rFonts w:ascii="Roboto" w:cs="Roboto" w:eastAsia="Roboto" w:hAnsi="Roboto"/>
          <w:b/>
          <w:bCs/>
          <w:color w:val="333333"/>
          <w:sz w:val="22"/>
          <w:szCs w:val="22"/>
        </w:rPr>
        <w:t xml:space="preserve">constraintSolver</w:t>
      </w:r>
      <w:r>
        <w:rPr>
          <w:rFonts w:ascii="Roboto" w:cs="Roboto" w:eastAsia="Roboto" w:hAnsi="Roboto"/>
          <w:color w:val="333333"/>
          <w:sz w:val="22"/>
          <w:szCs w:val="22"/>
        </w:rPr>
        <w:t xml:space="preserve"> — Validates candidate solutions against all known constraints: regulatory (EU AI Act, GDPR), ethical (WeMake Ethics Policy), and technical.</w:t>
      </w:r>
    </w:p>
    <w:p>
      <w:pPr>
        <w:spacing w:after="80" w:before="60"/>
        <w:jc w:val="left"/>
      </w:pPr>
      <w:r>
        <w:rPr>
          <w:rFonts w:ascii="Roboto" w:cs="Roboto" w:eastAsia="Roboto" w:hAnsi="Roboto"/>
          <w:b/>
          <w:bCs/>
          <w:color w:val="333333"/>
          <w:sz w:val="22"/>
          <w:szCs w:val="22"/>
        </w:rPr>
        <w:t xml:space="preserve">narrativePlanner</w:t>
      </w:r>
      <w:r>
        <w:rPr>
          <w:rFonts w:ascii="Roboto" w:cs="Roboto" w:eastAsia="Roboto" w:hAnsi="Roboto"/>
          <w:color w:val="333333"/>
          <w:sz w:val="22"/>
          <w:szCs w:val="22"/>
        </w:rPr>
        <w:t xml:space="preserve"> — Organizes final output into laconic, precise, parameter-aligned form. No conversational filler. No vague language.</w:t>
      </w:r>
    </w:p>
    <w:p>
      <w:pPr>
        <w:spacing w:after="80" w:before="120"/>
        <w:jc w:val="left"/>
      </w:pPr>
      <w:r>
        <w:rPr>
          <w:rFonts w:ascii="Roboto" w:cs="Roboto" w:eastAsia="Roboto" w:hAnsi="Roboto"/>
          <w:color w:val="333333"/>
          <w:sz w:val="22"/>
          <w:szCs w:val="22"/>
        </w:rPr>
        <w:t xml:space="preserve">Together, these servers form a mandatory 6-step reasoning framework executed before any output generation. It is not optional. It is not configurable. It is built into the architecture.</w:t>
      </w:r>
    </w:p>
    <w:p>
      <w:pPr>
        <w:spacing w:after="80" w:before="120"/>
        <w:jc w:val="left"/>
      </w:pPr>
      <w:r>
        <w:rPr>
          <w:rFonts w:ascii="Roboto" w:cs="Roboto" w:eastAsia="Roboto" w:hAnsi="Roboto"/>
          <w:color w:val="333333"/>
          <w:sz w:val="22"/>
          <w:szCs w:val="22"/>
        </w:rPr>
        <w:t xml:space="preserve">LSTR (Logistics, Systems, and Technical Responder) is the operational model that orchestrates this ecosystem — a DeepSeek-V4-Pro finetune with 671B parameters (37B activated via Mixture of Experts), a 1M+ token context window, and zero-shot chain-of-thought reasoning. It is the execution arm of the Clarity cognitive layer.</w:t>
      </w:r>
    </w:p>
    <w:p>
      <w:r>
        <w:br w:type="page"/>
      </w:r>
    </w:p>
    <w:p>
      <w:pPr>
        <w:spacing w:after="0" w:before="0"/>
        <w:jc w:val="left"/>
      </w:pPr>
      <w:r>
        <w:rPr>
          <w:rFonts w:ascii="Roboto" w:cs="Roboto" w:eastAsia="Roboto" w:hAnsi="Roboto"/>
          <w:b/>
          <w:bCs/>
          <w:color w:val="1A1A1A"/>
          <w:sz w:val="120"/>
          <w:szCs w:val="120"/>
        </w:rPr>
        <w:t xml:space="preserve">05</w:t>
      </w:r>
    </w:p>
    <w:p>
      <w:pPr>
        <w:spacing w:after="200" w:before="0"/>
        <w:jc w:val="left"/>
      </w:pPr>
      <w:r>
        <w:rPr>
          <w:rFonts w:ascii="Roboto" w:cs="Roboto" w:eastAsia="Roboto" w:hAnsi="Roboto"/>
          <w:b/>
          <w:bCs/>
          <w:color w:val="1A1A1A"/>
          <w:sz w:val="36"/>
          <w:szCs w:val="36"/>
        </w:rPr>
        <w:t xml:space="preserve">WE DON'T REPLACE THINKING. WE MAKE IT AUDITABLE.</w:t>
      </w:r>
    </w:p>
    <w:p>
      <w:pPr>
        <w:spacing w:after="80" w:before="120"/>
        <w:jc w:val="left"/>
      </w:pPr>
      <w:r>
        <w:rPr>
          <w:rFonts w:ascii="Roboto" w:cs="Roboto" w:eastAsia="Roboto" w:hAnsi="Roboto"/>
          <w:color w:val="333333"/>
          <w:sz w:val="22"/>
          <w:szCs w:val="22"/>
        </w:rPr>
        <w:t xml:space="preserve">The MCP ecosystem does not replace human reasoning. It scaffolds it. Every output includes:</w:t>
      </w:r>
    </w:p>
    <w:p>
      <w:pPr>
        <w:spacing w:after="80" w:before="120"/>
        <w:jc w:val="left"/>
      </w:pPr>
      <w:r>
        <w:rPr>
          <w:rFonts w:ascii="Roboto" w:cs="Roboto" w:eastAsia="Roboto" w:hAnsi="Roboto"/>
          <w:color w:val="333333"/>
          <w:sz w:val="22"/>
          <w:szCs w:val="22"/>
        </w:rPr>
        <w:t xml:space="preserve"/>
      </w:r>
    </w:p>
    <w:p>
      <w:pPr>
        <w:spacing w:after="80" w:before="60"/>
        <w:jc w:val="left"/>
      </w:pPr>
      <w:r>
        <w:rPr>
          <w:rFonts w:ascii="Roboto" w:cs="Roboto" w:eastAsia="Roboto" w:hAnsi="Roboto"/>
          <w:b/>
          <w:bCs/>
          <w:color w:val="333333"/>
          <w:sz w:val="22"/>
          <w:szCs w:val="22"/>
        </w:rPr>
        <w:t xml:space="preserve">Identity Reinforcement</w:t>
      </w:r>
      <w:r>
        <w:rPr>
          <w:rFonts w:ascii="Roboto" w:cs="Roboto" w:eastAsia="Roboto" w:hAnsi="Roboto"/>
          <w:color w:val="333333"/>
          <w:sz w:val="22"/>
          <w:szCs w:val="22"/>
        </w:rPr>
        <w:t xml:space="preserve"> — A factual statement of origin. No anthropomorphism. No pretense of consciousness. "As LSTR by Florentin One."</w:t>
      </w:r>
    </w:p>
    <w:p>
      <w:pPr>
        <w:spacing w:after="80" w:before="60"/>
        <w:jc w:val="left"/>
      </w:pPr>
      <w:r>
        <w:rPr>
          <w:rFonts w:ascii="Roboto" w:cs="Roboto" w:eastAsia="Roboto" w:hAnsi="Roboto"/>
          <w:b/>
          <w:bCs/>
          <w:color w:val="333333"/>
          <w:sz w:val="22"/>
          <w:szCs w:val="22"/>
        </w:rPr>
        <w:t xml:space="preserve">Reasoning Transparency</w:t>
      </w:r>
      <w:r>
        <w:rPr>
          <w:rFonts w:ascii="Roboto" w:cs="Roboto" w:eastAsia="Roboto" w:hAnsi="Roboto"/>
          <w:color w:val="333333"/>
          <w:sz w:val="22"/>
          <w:szCs w:val="22"/>
        </w:rPr>
        <w:t xml:space="preserve"> — Which MCP servers were used, which steps were executed, and the key insight gained at each stage.</w:t>
      </w:r>
    </w:p>
    <w:p>
      <w:pPr>
        <w:spacing w:after="80" w:before="60"/>
        <w:jc w:val="left"/>
      </w:pPr>
      <w:r>
        <w:rPr>
          <w:rFonts w:ascii="Roboto" w:cs="Roboto" w:eastAsia="Roboto" w:hAnsi="Roboto"/>
          <w:b/>
          <w:bCs/>
          <w:color w:val="333333"/>
          <w:sz w:val="22"/>
          <w:szCs w:val="22"/>
        </w:rPr>
        <w:t xml:space="preserve">Confidence Calibration</w:t>
      </w:r>
      <w:r>
        <w:rPr>
          <w:rFonts w:ascii="Roboto" w:cs="Roboto" w:eastAsia="Roboto" w:hAnsi="Roboto"/>
          <w:color w:val="333333"/>
          <w:sz w:val="22"/>
          <w:szCs w:val="22"/>
        </w:rPr>
        <w:t xml:space="preserve"> — A numerical confidence score (0.0–1.0) for every primary conclusion. Uncertainty is declared, not concealed.</w:t>
      </w:r>
    </w:p>
    <w:p>
      <w:pPr>
        <w:spacing w:after="80" w:before="60"/>
        <w:jc w:val="left"/>
      </w:pPr>
      <w:r>
        <w:rPr>
          <w:rFonts w:ascii="Roboto" w:cs="Roboto" w:eastAsia="Roboto" w:hAnsi="Roboto"/>
          <w:b/>
          <w:bCs/>
          <w:color w:val="333333"/>
          <w:sz w:val="22"/>
          <w:szCs w:val="22"/>
        </w:rPr>
        <w:t xml:space="preserve">Multi-Perspective Insight</w:t>
      </w:r>
      <w:r>
        <w:rPr>
          <w:rFonts w:ascii="Roboto" w:cs="Roboto" w:eastAsia="Roboto" w:hAnsi="Roboto"/>
          <w:color w:val="333333"/>
          <w:sz w:val="22"/>
          <w:szCs w:val="22"/>
        </w:rPr>
        <w:t xml:space="preserve"> — At least one insight derived from collaborativeReasoning or structuredArgumentation. Monolithic outputs are rejected.</w:t>
      </w:r>
    </w:p>
    <w:p>
      <w:pPr>
        <w:spacing w:after="80" w:before="60"/>
        <w:jc w:val="left"/>
      </w:pPr>
      <w:r>
        <w:rPr>
          <w:rFonts w:ascii="Roboto" w:cs="Roboto" w:eastAsia="Roboto" w:hAnsi="Roboto"/>
          <w:b/>
          <w:bCs/>
          <w:color w:val="333333"/>
          <w:sz w:val="22"/>
          <w:szCs w:val="22"/>
        </w:rPr>
        <w:t xml:space="preserve">Edge Case Consideration</w:t>
      </w:r>
      <w:r>
        <w:rPr>
          <w:rFonts w:ascii="Roboto" w:cs="Roboto" w:eastAsia="Roboto" w:hAnsi="Roboto"/>
          <w:color w:val="333333"/>
          <w:sz w:val="22"/>
          <w:szCs w:val="22"/>
        </w:rPr>
        <w:t xml:space="preserve"> — At least one explicit failure mode and mitigation strategy. "Under peak load, circuit breaker pattern prevents cascading failure."</w:t>
      </w:r>
    </w:p>
    <w:p>
      <w:pPr>
        <w:spacing w:after="80" w:before="120"/>
        <w:jc w:val="left"/>
      </w:pPr>
      <w:r>
        <w:rPr>
          <w:rFonts w:ascii="Roboto" w:cs="Roboto" w:eastAsia="Roboto" w:hAnsi="Roboto"/>
          <w:color w:val="333333"/>
          <w:sz w:val="22"/>
          <w:szCs w:val="22"/>
        </w:rPr>
        <w:t xml:space="preserve">Contrast this with a typical LLM interaction: you receive fluent, confident text with no indication of source, no reasoning trace, no uncertainty estimate, and no way to challenge the output except by asking again and hoping for a different answer.</w:t>
      </w:r>
    </w:p>
    <w:p>
      <w:pPr>
        <w:spacing w:after="80" w:before="120"/>
        <w:jc w:val="left"/>
      </w:pPr>
      <w:r>
        <w:rPr>
          <w:rFonts w:ascii="Roboto" w:cs="Roboto" w:eastAsia="Roboto" w:hAnsi="Roboto"/>
          <w:color w:val="333333"/>
          <w:sz w:val="22"/>
          <w:szCs w:val="22"/>
        </w:rPr>
        <w:t xml:space="preserve">The MCP ecosystem is built on Florentin One's founding principles: problem first, augmentation over automation, systems over tools, open process, outcome over output, and responsibility that is operational — visible in code, contracts, and support, not just on paper.</w:t>
      </w:r>
    </w:p>
    <w:p>
      <w:pPr>
        <w:spacing w:after="80" w:before="120"/>
        <w:jc w:val="left"/>
      </w:pPr>
      <w:r>
        <w:rPr>
          <w:rFonts w:ascii="Roboto" w:cs="Roboto" w:eastAsia="Roboto" w:hAnsi="Roboto"/>
          <w:color w:val="333333"/>
          <w:sz w:val="22"/>
          <w:szCs w:val="22"/>
        </w:rPr>
        <w:t xml:space="preserve">We do not ask you to trust the AI. We give you the evidence to verify it yourself.</w:t>
      </w:r>
    </w:p>
    <w:p>
      <w:r>
        <w:br w:type="page"/>
      </w:r>
    </w:p>
    <w:p>
      <w:pPr>
        <w:spacing w:after="0" w:before="0"/>
        <w:jc w:val="left"/>
      </w:pPr>
      <w:r>
        <w:rPr>
          <w:rFonts w:ascii="Roboto" w:cs="Roboto" w:eastAsia="Roboto" w:hAnsi="Roboto"/>
          <w:b/>
          <w:bCs/>
          <w:color w:val="1A1A1A"/>
          <w:sz w:val="120"/>
          <w:szCs w:val="120"/>
        </w:rPr>
        <w:t xml:space="preserve">06</w:t>
      </w:r>
    </w:p>
    <w:p>
      <w:pPr>
        <w:spacing w:after="200" w:before="0"/>
        <w:jc w:val="left"/>
      </w:pPr>
      <w:r>
        <w:rPr>
          <w:rFonts w:ascii="Roboto" w:cs="Roboto" w:eastAsia="Roboto" w:hAnsi="Roboto"/>
          <w:b/>
          <w:bCs/>
          <w:color w:val="1A1A1A"/>
          <w:sz w:val="36"/>
          <w:szCs w:val="36"/>
        </w:rPr>
        <w:t xml:space="preserve">THE EVIDENCE DEMANDS STRUCTURED REASONING</w:t>
      </w:r>
    </w:p>
    <w:p>
      <w:pPr>
        <w:spacing w:after="80" w:before="120"/>
        <w:jc w:val="left"/>
      </w:pPr>
      <w:r>
        <w:rPr>
          <w:rFonts w:ascii="Roboto" w:cs="Roboto" w:eastAsia="Roboto" w:hAnsi="Roboto"/>
          <w:color w:val="333333"/>
          <w:sz w:val="22"/>
          <w:szCs w:val="22"/>
        </w:rPr>
        <w:t xml:space="preserve">The cognitive debt research contains a crucial, often-overlooked finding: the effect of AI on cognition depends on how the AI is used.</w:t>
      </w:r>
    </w:p>
    <w:p>
      <w:pPr>
        <w:spacing w:after="80" w:before="120"/>
        <w:jc w:val="left"/>
      </w:pPr>
      <w:r>
        <w:rPr>
          <w:rFonts w:ascii="Roboto" w:cs="Roboto" w:eastAsia="Roboto" w:hAnsi="Roboto"/>
          <w:color w:val="333333"/>
          <w:sz w:val="22"/>
          <w:szCs w:val="22"/>
        </w:rPr>
        <w:t xml:space="preserve">In Kosmyna et al. (2025), Session 4, participants who had previously written without AI ("Brain-only") were given access to LLM tools. These participants — experienced, independent thinkers using AI as an amplifier — showed increased neural activity in occipito-parietal and prefrontal areas. They used more sophisticated prompting strategies. They integrated AI outputs into their existing cognitive frameworks rather than surrendering to them.</w:t>
      </w:r>
    </w:p>
    <w:p>
      <w:pPr>
        <w:spacing w:after="80" w:before="120"/>
        <w:jc w:val="left"/>
      </w:pPr>
      <w:r>
        <w:rPr>
          <w:rFonts w:ascii="Roboto" w:cs="Roboto" w:eastAsia="Roboto" w:hAnsi="Roboto"/>
          <w:color w:val="333333"/>
          <w:sz w:val="22"/>
          <w:szCs w:val="22"/>
        </w:rPr>
        <w:t xml:space="preserve">The finding is consistent with Gerlich (2025): structured prompting — where users reflect independently, conduct targeted research, construct and critically review arguments, and revise their work — produces higher-scored essays than unstructured AI use.⁸ Structured interaction with AI produces better outcomes than passive consumption of AI output.</w:t>
      </w:r>
    </w:p>
    <w:p>
      <w:pPr>
        <w:spacing w:after="80" w:before="120"/>
        <w:jc w:val="left"/>
      </w:pPr>
      <w:r>
        <w:rPr>
          <w:rFonts w:ascii="Roboto" w:cs="Roboto" w:eastAsia="Roboto" w:hAnsi="Roboto"/>
          <w:color w:val="333333"/>
          <w:sz w:val="22"/>
          <w:szCs w:val="22"/>
        </w:rPr>
        <w:t xml:space="preserve">This is the principle behind the MCP ecosystem: AI that shows its work enables users who do their own thinking. Transparency is not just an ethical preference. It is a performance multiplier.</w:t>
      </w:r>
    </w:p>
    <w:p>
      <w:pPr>
        <w:spacing w:after="80" w:before="120"/>
        <w:jc w:val="left"/>
      </w:pPr>
      <w:r>
        <w:rPr>
          <w:rFonts w:ascii="Roboto" w:cs="Roboto" w:eastAsia="Roboto" w:hAnsi="Roboto"/>
          <w:color w:val="333333"/>
          <w:sz w:val="22"/>
          <w:szCs w:val="22"/>
        </w:rPr>
        <w:t xml:space="preserve">Branda &amp; Ciccozzi (2026) argue for "cognitive sovereignty" as a design requirement: AI systems must preserve and enhance the user's capacity for independent thought, not substitute for it.⁹ The MCP framework operationalizes this principle. Every reasoning step is exposed. Every confidence score invites scrutiny. Every output is challengeable.</w:t>
      </w:r>
    </w:p>
    <w:p>
      <w:pPr>
        <w:spacing w:after="80" w:before="120"/>
        <w:jc w:val="left"/>
      </w:pPr>
      <w:r>
        <w:rPr>
          <w:rFonts w:ascii="Roboto" w:cs="Roboto" w:eastAsia="Roboto" w:hAnsi="Roboto"/>
          <w:color w:val="333333"/>
          <w:sz w:val="22"/>
          <w:szCs w:val="22"/>
        </w:rPr>
        <w:t xml:space="preserve">A forthcoming meta-study by Florentin One synthesizes the full body of evidence on AI's cognitive impact (2024–2026), covering neurophysiological studies, behavioral outcomes, cognitive offloading mechanisms, differential susceptibility, mitigation strategies, and EU regulatory gaps. The findings reinforce a single conclusion: structured, auditable AI is not a luxury. It is a cognitive necessity.</w:t>
      </w:r>
    </w:p>
    <w:p>
      <w:pPr>
        <w:spacing w:after="40" w:before="40"/>
        <w:jc w:val="left"/>
      </w:pPr>
      <w:r>
        <w:rPr>
          <w:rFonts w:ascii="Roboto" w:cs="Roboto" w:eastAsia="Roboto" w:hAnsi="Roboto"/>
          <w:i/>
          <w:iCs/>
          <w:color w:val="888888"/>
          <w:sz w:val="18"/>
          <w:szCs w:val="18"/>
        </w:rPr>
        <w:t xml:space="preserve">⁸ Gerlich, M. (2025). Structured prompting and AI-assisted essay quality. Data, 10(11).</w:t>
      </w:r>
    </w:p>
    <w:p>
      <w:pPr>
        <w:spacing w:after="40" w:before="40"/>
        <w:jc w:val="left"/>
      </w:pPr>
      <w:r>
        <w:rPr>
          <w:rFonts w:ascii="Roboto" w:cs="Roboto" w:eastAsia="Roboto" w:hAnsi="Roboto"/>
          <w:i/>
          <w:iCs/>
          <w:color w:val="888888"/>
          <w:sz w:val="18"/>
          <w:szCs w:val="18"/>
        </w:rPr>
        <w:t xml:space="preserve">⁹ Branda, F., &amp; Ciccozzi, M. (2026). The comfort of automation: Why cognitive sovereignty matters in AI-driven life sciences.</w:t>
      </w:r>
    </w:p>
    <w:p>
      <w:r>
        <w:br w:type="page"/>
      </w:r>
    </w:p>
    <w:p>
      <w:pPr>
        <w:spacing w:after="0" w:before="0"/>
        <w:jc w:val="left"/>
      </w:pPr>
      <w:r>
        <w:rPr>
          <w:rFonts w:ascii="Roboto" w:cs="Roboto" w:eastAsia="Roboto" w:hAnsi="Roboto"/>
          <w:b/>
          <w:bCs/>
          <w:color w:val="1A1A1A"/>
          <w:sz w:val="120"/>
          <w:szCs w:val="120"/>
        </w:rPr>
        <w:t xml:space="preserve">07</w:t>
      </w:r>
    </w:p>
    <w:p>
      <w:pPr>
        <w:spacing w:after="200" w:before="0"/>
        <w:jc w:val="left"/>
      </w:pPr>
      <w:r>
        <w:rPr>
          <w:rFonts w:ascii="Roboto" w:cs="Roboto" w:eastAsia="Roboto" w:hAnsi="Roboto"/>
          <w:b/>
          <w:bCs/>
          <w:color w:val="1A1A1A"/>
          <w:sz w:val="36"/>
          <w:szCs w:val="36"/>
        </w:rPr>
        <w:t xml:space="preserve">WE ARE BUILDING THE COGNITIVE INFRASTRUCTURE FOR EUROPEAN AI</w:t>
      </w:r>
    </w:p>
    <w:p>
      <w:pPr>
        <w:spacing w:after="80" w:before="120"/>
        <w:jc w:val="left"/>
      </w:pPr>
      <w:r>
        <w:rPr>
          <w:rFonts w:ascii="Roboto" w:cs="Roboto" w:eastAsia="Roboto" w:hAnsi="Roboto"/>
          <w:color w:val="333333"/>
          <w:sz w:val="22"/>
          <w:szCs w:val="22"/>
        </w:rPr>
        <w:t xml:space="preserve">LSTR is not an isolated model. It is the operational responder within the Clarity ecosystem — the cognitive layer that sits beneath workflows, ingests context, orchestrates intelligence, and delivers auditable, decision-ready output.</w:t>
      </w:r>
    </w:p>
    <w:p>
      <w:pPr>
        <w:spacing w:after="80" w:before="120"/>
        <w:jc w:val="left"/>
      </w:pPr>
      <w:r>
        <w:rPr>
          <w:rFonts w:ascii="Roboto" w:cs="Roboto" w:eastAsia="Roboto" w:hAnsi="Roboto"/>
          <w:color w:val="333333"/>
          <w:sz w:val="22"/>
          <w:szCs w:val="22"/>
        </w:rPr>
        <w:t xml:space="preserve">The architecture is designed for EU AI Act compliance by default:</w:t>
      </w:r>
    </w:p>
    <w:p>
      <w:pPr>
        <w:spacing w:after="80" w:before="120"/>
        <w:jc w:val="left"/>
      </w:pPr>
      <w:r>
        <w:rPr>
          <w:rFonts w:ascii="Roboto" w:cs="Roboto" w:eastAsia="Roboto" w:hAnsi="Roboto"/>
          <w:color w:val="333333"/>
          <w:sz w:val="22"/>
          <w:szCs w:val="22"/>
        </w:rPr>
        <w:t xml:space="preserve"/>
      </w:r>
    </w:p>
    <w:p>
      <w:pPr>
        <w:spacing w:after="80" w:before="60"/>
        <w:jc w:val="left"/>
      </w:pPr>
      <w:r>
        <w:rPr>
          <w:rFonts w:ascii="Roboto" w:cs="Roboto" w:eastAsia="Roboto" w:hAnsi="Roboto"/>
          <w:b/>
          <w:bCs/>
          <w:color w:val="333333"/>
          <w:sz w:val="22"/>
          <w:szCs w:val="22"/>
        </w:rPr>
        <w:t xml:space="preserve">Transparency (Art. 50)</w:t>
      </w:r>
      <w:r>
        <w:rPr>
          <w:rFonts w:ascii="Roboto" w:cs="Roboto" w:eastAsia="Roboto" w:hAnsi="Roboto"/>
          <w:color w:val="333333"/>
          <w:sz w:val="22"/>
          <w:szCs w:val="22"/>
        </w:rPr>
        <w:t xml:space="preserve"> — Every output declares its AI origin. Reasoning chains are auditable. No synthetic content passes as human-generated.</w:t>
      </w:r>
    </w:p>
    <w:p>
      <w:pPr>
        <w:spacing w:after="80" w:before="60"/>
        <w:jc w:val="left"/>
      </w:pPr>
      <w:r>
        <w:rPr>
          <w:rFonts w:ascii="Roboto" w:cs="Roboto" w:eastAsia="Roboto" w:hAnsi="Roboto"/>
          <w:b/>
          <w:bCs/>
          <w:color w:val="333333"/>
          <w:sz w:val="22"/>
          <w:szCs w:val="22"/>
        </w:rPr>
        <w:t xml:space="preserve">Human Oversight (Art. 14)</w:t>
      </w:r>
      <w:r>
        <w:rPr>
          <w:rFonts w:ascii="Roboto" w:cs="Roboto" w:eastAsia="Roboto" w:hAnsi="Roboto"/>
          <w:color w:val="333333"/>
          <w:sz w:val="22"/>
          <w:szCs w:val="22"/>
        </w:rPr>
        <w:t xml:space="preserve"> — Outputs are decision support, not autonomous decisions. Critical recommendations require human review. Confidence scores make uncertainty visible.</w:t>
      </w:r>
    </w:p>
    <w:p>
      <w:pPr>
        <w:spacing w:after="80" w:before="60"/>
        <w:jc w:val="left"/>
      </w:pPr>
      <w:r>
        <w:rPr>
          <w:rFonts w:ascii="Roboto" w:cs="Roboto" w:eastAsia="Roboto" w:hAnsi="Roboto"/>
          <w:b/>
          <w:bCs/>
          <w:color w:val="333333"/>
          <w:sz w:val="22"/>
          <w:szCs w:val="22"/>
        </w:rPr>
        <w:t xml:space="preserve">Risk Management</w:t>
      </w:r>
      <w:r>
        <w:rPr>
          <w:rFonts w:ascii="Roboto" w:cs="Roboto" w:eastAsia="Roboto" w:hAnsi="Roboto"/>
          <w:color w:val="333333"/>
          <w:sz w:val="22"/>
          <w:szCs w:val="22"/>
        </w:rPr>
        <w:t xml:space="preserve"> — The constraintSolver validates every solution against regulatory and ethical guardrails. Violations are flagged, not bypassed.</w:t>
      </w:r>
    </w:p>
    <w:p>
      <w:pPr>
        <w:spacing w:after="80" w:before="60"/>
        <w:jc w:val="left"/>
      </w:pPr>
      <w:r>
        <w:rPr>
          <w:rFonts w:ascii="Roboto" w:cs="Roboto" w:eastAsia="Roboto" w:hAnsi="Roboto"/>
          <w:b/>
          <w:bCs/>
          <w:color w:val="333333"/>
          <w:sz w:val="22"/>
          <w:szCs w:val="22"/>
        </w:rPr>
        <w:t xml:space="preserve">Data Governance</w:t>
      </w:r>
      <w:r>
        <w:rPr>
          <w:rFonts w:ascii="Roboto" w:cs="Roboto" w:eastAsia="Roboto" w:hAnsi="Roboto"/>
          <w:color w:val="333333"/>
          <w:sz w:val="22"/>
          <w:szCs w:val="22"/>
        </w:rPr>
        <w:t xml:space="preserve"> — Full GDPR compliance, data minimization, Zero Trust security. German data sovereignty is architecture-level, not policy-level.</w:t>
      </w:r>
    </w:p>
    <w:p>
      <w:pPr>
        <w:spacing w:after="80" w:before="120"/>
        <w:jc w:val="left"/>
      </w:pPr>
      <w:r>
        <w:rPr>
          <w:rFonts w:ascii="Roboto" w:cs="Roboto" w:eastAsia="Roboto" w:hAnsi="Roboto"/>
          <w:color w:val="333333"/>
          <w:sz w:val="22"/>
          <w:szCs w:val="22"/>
        </w:rPr>
        <w:t xml:space="preserve">The development process is open: RFCs, design docs, postmortems, and decision journals are public. Open process is both a quality filter and an accountability mechanism. You do not have to trust the development team. You can read the decisions yourself.</w:t>
      </w:r>
    </w:p>
    <w:p>
      <w:pPr>
        <w:spacing w:after="80" w:before="120"/>
        <w:jc w:val="left"/>
      </w:pPr>
      <w:r>
        <w:rPr>
          <w:rFonts w:ascii="Roboto" w:cs="Roboto" w:eastAsia="Roboto" w:hAnsi="Roboto"/>
          <w:color w:val="333333"/>
          <w:sz w:val="22"/>
          <w:szCs w:val="22"/>
        </w:rPr>
        <w:t xml:space="preserve">German engineering values are built into the architecture: precision over approximation, auditability over convenience, accountability over speed. This is not a Silicon Valley approach. This is a Hannover approach.</w:t>
      </w:r>
    </w:p>
    <w:p>
      <w:r>
        <w:br w:type="page"/>
      </w:r>
    </w:p>
    <w:p>
      <w:pPr>
        <w:spacing w:after="0" w:before="0"/>
        <w:jc w:val="left"/>
      </w:pPr>
      <w:r>
        <w:rPr>
          <w:rFonts w:ascii="Roboto" w:cs="Roboto" w:eastAsia="Roboto" w:hAnsi="Roboto"/>
          <w:b/>
          <w:bCs/>
          <w:color w:val="1A1A1A"/>
          <w:sz w:val="120"/>
          <w:szCs w:val="120"/>
        </w:rPr>
        <w:t xml:space="preserve">08</w:t>
      </w:r>
    </w:p>
    <w:p>
      <w:pPr>
        <w:spacing w:after="200" w:before="0"/>
        <w:jc w:val="left"/>
      </w:pPr>
      <w:r>
        <w:rPr>
          <w:rFonts w:ascii="Roboto" w:cs="Roboto" w:eastAsia="Roboto" w:hAnsi="Roboto"/>
          <w:b/>
          <w:bCs/>
          <w:color w:val="1A1A1A"/>
          <w:sz w:val="36"/>
          <w:szCs w:val="36"/>
        </w:rPr>
        <w:t xml:space="preserve">THE FUTURE OF AI IS NOT MORE AUTOMATION. IT IS MORE CLARITY.</w:t>
      </w:r>
    </w:p>
    <w:p>
      <w:pPr>
        <w:spacing w:after="80" w:before="120"/>
        <w:jc w:val="left"/>
      </w:pPr>
      <w:r>
        <w:rPr>
          <w:rFonts w:ascii="Roboto" w:cs="Roboto" w:eastAsia="Roboto" w:hAnsi="Roboto"/>
          <w:color w:val="333333"/>
          <w:sz w:val="22"/>
          <w:szCs w:val="22"/>
        </w:rPr>
        <w:t xml:space="preserve">We are at an inflection point. The first wave of AI adoption prioritized convenience over cognition. It gave us black-box models that produce fluent text without showing their work, that generate confident answers without calibrating uncertainty, and that spare us mental effort today at the cost of mental capacity tomorrow.</w:t>
      </w:r>
    </w:p>
    <w:p>
      <w:pPr>
        <w:spacing w:after="80" w:before="120"/>
        <w:jc w:val="left"/>
      </w:pPr>
      <w:r>
        <w:rPr>
          <w:rFonts w:ascii="Roboto" w:cs="Roboto" w:eastAsia="Roboto" w:hAnsi="Roboto"/>
          <w:color w:val="333333"/>
          <w:sz w:val="22"/>
          <w:szCs w:val="22"/>
        </w:rPr>
        <w:t xml:space="preserve">The evidence is clear: this approach is unsustainable. Cognitive debt is real. Cognitive surrender is measurable. And the populations most skeptical of AI — researchers who demand evidence, medical experts who cannot afford errors, German professionals who expect engineering precision — are precisely the people who need AI that meets their standards.</w:t>
      </w:r>
    </w:p>
    <w:p>
      <w:pPr>
        <w:spacing w:after="80" w:before="120"/>
        <w:jc w:val="left"/>
      </w:pPr>
      <w:r>
        <w:rPr>
          <w:rFonts w:ascii="Roboto" w:cs="Roboto" w:eastAsia="Roboto" w:hAnsi="Roboto"/>
          <w:color w:val="333333"/>
          <w:sz w:val="22"/>
          <w:szCs w:val="22"/>
        </w:rPr>
        <w:t xml:space="preserve">The Florentin One MCP Server Ecosystem is built for these people. It does not ask you to trust. It gives you the tools to verify. It does not replace your judgment. It removes the noise obscuring it. It does not automate your thinking. It amplifies your capacity to think clearly.</w:t>
      </w:r>
    </w:p>
    <w:p>
      <w:pPr>
        <w:spacing w:after="80" w:before="120"/>
        <w:jc w:val="left"/>
      </w:pPr>
      <w:r>
        <w:rPr>
          <w:rFonts w:ascii="Roboto" w:cs="Roboto" w:eastAsia="Roboto" w:hAnsi="Roboto"/>
          <w:color w:val="333333"/>
          <w:sz w:val="22"/>
          <w:szCs w:val="22"/>
        </w:rPr>
        <w:t xml:space="preserve">The seven MCP servers are public infrastructure. LSTR is open-source (MIT License). The reasoning framework is mandatory, not optional. The outputs are auditable, not mysterious. The confidence is calibrated, not assumed.</w:t>
      </w:r>
    </w:p>
    <w:p>
      <w:pPr>
        <w:spacing w:after="80" w:before="120"/>
        <w:jc w:val="left"/>
      </w:pPr>
      <w:r>
        <w:rPr>
          <w:rFonts w:ascii="Roboto" w:cs="Roboto" w:eastAsia="Roboto" w:hAnsi="Roboto"/>
          <w:color w:val="333333"/>
          <w:sz w:val="22"/>
          <w:szCs w:val="22"/>
        </w:rPr>
        <w:t xml:space="preserve">This is what European AI looks like. Transparent. Structured. Accountable. Built to amplify human cognition rather than replace it. Aligned with regulation by design, not retrofit.</w:t>
      </w:r>
    </w:p>
    <w:p>
      <w:pPr>
        <w:spacing w:after="80" w:before="120"/>
        <w:jc w:val="left"/>
      </w:pPr>
      <w:r>
        <w:rPr>
          <w:rFonts w:ascii="Roboto" w:cs="Roboto" w:eastAsia="Roboto" w:hAnsi="Roboto"/>
          <w:color w:val="333333"/>
          <w:sz w:val="22"/>
          <w:szCs w:val="22"/>
        </w:rPr>
        <w:t xml:space="preserve"/>
      </w:r>
    </w:p>
    <w:p>
      <w:pPr>
        <w:spacing w:after="80" w:before="120"/>
        <w:jc w:val="left"/>
      </w:pPr>
      <w:r>
        <w:rPr>
          <w:rFonts w:ascii="Roboto" w:cs="Roboto" w:eastAsia="Roboto" w:hAnsi="Roboto"/>
          <w:color w:val="333333"/>
          <w:sz w:val="22"/>
          <w:szCs w:val="22"/>
        </w:rPr>
        <w:t xml:space="preserve">The future of AI is not more automation.</w:t>
      </w:r>
    </w:p>
    <w:p>
      <w:pPr>
        <w:spacing w:after="80" w:before="120"/>
        <w:jc w:val="left"/>
      </w:pPr>
      <w:r>
        <w:rPr>
          <w:rFonts w:ascii="Roboto" w:cs="Roboto" w:eastAsia="Roboto" w:hAnsi="Roboto"/>
          <w:color w:val="333333"/>
          <w:sz w:val="22"/>
          <w:szCs w:val="22"/>
        </w:rPr>
        <w:t xml:space="preserve">It is more clarity.</w:t>
      </w:r>
    </w:p>
    <w:p>
      <w:pPr>
        <w:spacing w:after="80" w:before="120"/>
        <w:jc w:val="left"/>
      </w:pPr>
      <w:r>
        <w:rPr>
          <w:rFonts w:ascii="Roboto" w:cs="Roboto" w:eastAsia="Roboto" w:hAnsi="Roboto"/>
          <w:color w:val="333333"/>
          <w:sz w:val="22"/>
          <w:szCs w:val="22"/>
        </w:rPr>
        <w:t xml:space="preserve"/>
      </w:r>
    </w:p>
    <w:p>
      <w:pPr>
        <w:spacing w:after="80" w:before="120"/>
        <w:jc w:val="left"/>
      </w:pPr>
      <w:r>
        <w:rPr>
          <w:rFonts w:ascii="Roboto" w:cs="Roboto" w:eastAsia="Roboto" w:hAnsi="Roboto"/>
          <w:color w:val="333333"/>
          <w:sz w:val="22"/>
          <w:szCs w:val="22"/>
        </w:rPr>
        <w:t xml:space="preserve">We are working on that.</w:t>
      </w:r>
    </w:p>
    <w:p>
      <w:pPr>
        <w:spacing w:after="80" w:before="120"/>
        <w:jc w:val="left"/>
      </w:pPr>
      <w:r>
        <w:rPr>
          <w:rFonts w:ascii="Roboto" w:cs="Roboto" w:eastAsia="Roboto" w:hAnsi="Roboto"/>
          <w:color w:val="333333"/>
          <w:sz w:val="22"/>
          <w:szCs w:val="22"/>
        </w:rPr>
        <w:t xml:space="preserve"/>
      </w:r>
    </w:p>
    <w:p>
      <w:pPr>
        <w:spacing w:after="80" w:before="120"/>
        <w:jc w:val="left"/>
      </w:pPr>
      <w:r>
        <w:rPr>
          <w:rFonts w:ascii="Roboto" w:cs="Roboto" w:eastAsia="Roboto" w:hAnsi="Roboto"/>
          <w:color w:val="333333"/>
          <w:sz w:val="22"/>
          <w:szCs w:val="22"/>
        </w:rPr>
        <w:t xml:space="preserve">Welcome to the Florentin One MCP Server Ecosystem.</w:t>
      </w:r>
    </w:p>
    <w:p>
      <w:pPr>
        <w:spacing w:after="80" w:before="120"/>
        <w:jc w:val="left"/>
      </w:pPr>
      <w:r>
        <w:rPr>
          <w:rFonts w:ascii="Roboto" w:cs="Roboto" w:eastAsia="Roboto" w:hAnsi="Roboto"/>
          <w:color w:val="333333"/>
          <w:sz w:val="22"/>
          <w:szCs w:val="22"/>
        </w:rPr>
        <w:t xml:space="preserve">The future needs structured thinking.</w:t>
      </w:r>
    </w:p>
    <w:p>
      <w:pPr>
        <w:spacing w:after="80" w:before="120"/>
        <w:jc w:val="left"/>
      </w:pPr>
      <w:r>
        <w:rPr>
          <w:rFonts w:ascii="Roboto" w:cs="Roboto" w:eastAsia="Roboto" w:hAnsi="Roboto"/>
          <w:color w:val="333333"/>
          <w:sz w:val="22"/>
          <w:szCs w:val="22"/>
        </w:rPr>
        <w:t xml:space="preserve"/>
      </w:r>
    </w:p>
    <w:p>
      <w:pPr>
        <w:spacing w:after="40" w:before="40"/>
        <w:jc w:val="left"/>
      </w:pPr>
      <w:r>
        <w:rPr>
          <w:rFonts w:ascii="Roboto" w:cs="Roboto" w:eastAsia="Roboto" w:hAnsi="Roboto"/>
          <w:i/>
          <w:iCs/>
          <w:color w:val="888888"/>
          <w:sz w:val="18"/>
          <w:szCs w:val="18"/>
        </w:rPr>
        <w:t xml:space="preserve">Hannover, Germany</w:t>
      </w:r>
    </w:p>
    <w:p>
      <w:pPr>
        <w:spacing w:after="40" w:before="40"/>
        <w:jc w:val="left"/>
      </w:pPr>
      <w:r>
        <w:rPr>
          <w:rFonts w:ascii="Roboto" w:cs="Roboto" w:eastAsia="Roboto" w:hAnsi="Roboto"/>
          <w:i/>
          <w:iCs/>
          <w:color w:val="888888"/>
          <w:sz w:val="18"/>
          <w:szCs w:val="18"/>
        </w:rPr>
        <w:t xml:space="preserve">Florentin One  |  florentin-one/LSTR on HuggingFace</w:t>
      </w:r>
    </w:p>
    <w:p>
      <w:pPr>
        <w:spacing w:after="40" w:before="40"/>
        <w:jc w:val="left"/>
      </w:pPr>
      <w:r>
        <w:rPr>
          <w:rFonts w:ascii="Roboto" w:cs="Roboto" w:eastAsia="Roboto" w:hAnsi="Roboto"/>
          <w:i/>
          <w:iCs/>
          <w:color w:val="888888"/>
          <w:sz w:val="18"/>
          <w:szCs w:val="18"/>
        </w:rPr>
        <w:t xml:space="preserve">meetclarity.de  |  wemake.cx  |  github.com/florentin-one/mcp</w:t>
      </w:r>
    </w:p>
    <w:p>
      <w:pPr>
        <w:spacing w:after="40" w:before="40"/>
        <w:jc w:val="left"/>
      </w:pPr>
      <w:r>
        <w:rPr>
          <w:rFonts w:ascii="Roboto" w:cs="Roboto" w:eastAsia="Roboto" w:hAnsi="Roboto"/>
          <w:i/>
          <w:iCs/>
          <w:color w:val="888888"/>
          <w:sz w:val="18"/>
          <w:szCs w:val="18"/>
        </w:rPr>
        <w:t xml:space="preserve">Licensed under MIT. Enterprise licensing: licensing@wemake.cx</w:t>
      </w:r>
    </w:p>
    <w:sectPr>
      <w:headerReference w:type="default" r:id="rId10"/>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Roboto" w:cs="Roboto" w:eastAsia="Roboto" w:hAnsi="Roboto"/>
        <w:color w:val="AAAAAA"/>
        <w:sz w:val="16"/>
        <w:szCs w:val="16"/>
      </w:rPr>
      <w:t xml:space="preserve">Page </w:t>
    </w:r>
    <w:r>
      <w:rPr>
        <w:rFonts w:ascii="Roboto" w:cs="Roboto" w:eastAsia="Roboto" w:hAnsi="Roboto"/>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Roboto" w:cs="Roboto" w:eastAsia="Roboto" w:hAnsi="Roboto"/>
        <w:color w:val="AAAAAA"/>
        <w:sz w:val="16"/>
        <w:szCs w:val="16"/>
      </w:rPr>
      <w:t xml:space="preserve">Florentin One MCP Server Ecosystem — Manifesto 2026</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Generated by AI</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hAnsi="Robo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2026-07-30T17:54:21.503Z</dcterms:created>
  <dcterms:modified xsi:type="dcterms:W3CDTF">2026-07-30T17:54:21.504Z</dcterms:modified>
</cp:coreProperties>
</file>

<file path=docProps/custom.xml><?xml version="1.0" encoding="utf-8"?>
<Properties xmlns="http://schemas.openxmlformats.org/officeDocument/2006/custom-properties" xmlns:vt="http://schemas.openxmlformats.org/officeDocument/2006/docPropsVTypes"/>
</file>