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1200"/>
        <w:jc w:val="center"/>
      </w:pPr>
      <w:r>
        <w:rPr>
          <w:rFonts w:ascii="Arial" w:cs="Arial" w:eastAsia="Arial" w:hAnsi="Arial"/>
          <w:b/>
          <w:bCs/>
          <w:color w:val="64748B"/>
          <w:sz w:val="22"/>
          <w:szCs w:val="22"/>
        </w:rPr>
        <w:t xml:space="preserve">PRESENTATION SCRIPT</w:t>
      </w:r>
    </w:p>
    <w:p>
      <w:pPr>
        <w:spacing w:after="60"/>
        <w:jc w:val="center"/>
      </w:pPr>
      <w:r>
        <w:rPr>
          <w:rFonts w:ascii="Arial" w:cs="Arial" w:eastAsia="Arial" w:hAnsi="Arial"/>
          <w:b/>
          <w:bCs/>
          <w:color w:val="0D3FA0"/>
          <w:sz w:val="44"/>
          <w:szCs w:val="44"/>
        </w:rPr>
        <w:t xml:space="preserve">Northern Retail Analytics</w:t>
      </w:r>
    </w:p>
    <w:p>
      <w:pPr>
        <w:spacing w:after="200"/>
        <w:jc w:val="center"/>
      </w:pPr>
      <w:r>
        <w:rPr>
          <w:rFonts w:ascii="Arial" w:cs="Arial" w:eastAsia="Arial" w:hAnsi="Arial"/>
          <w:sz w:val="26"/>
          <w:szCs w:val="26"/>
        </w:rPr>
        <w:t xml:space="preserve">Predictive Decision Dashboard — Management Presentation</w:t>
      </w:r>
    </w:p>
    <w:p>
      <w:pPr>
        <w:spacing w:after="40"/>
        <w:jc w:val="center"/>
      </w:pPr>
      <w:r>
        <w:rPr>
          <w:rFonts w:ascii="Arial" w:cs="Arial" w:eastAsia="Arial" w:hAnsi="Arial"/>
          <w:i/>
          <w:iCs/>
          <w:sz w:val="22"/>
          <w:szCs w:val="22"/>
        </w:rPr>
        <w:t xml:space="preserve">Approximate duration: ten minutes</w:t>
      </w:r>
    </w:p>
    <w:p>
      <w:pPr>
        <w:spacing w:after="600"/>
        <w:jc w:val="center"/>
      </w:pPr>
      <w:r>
        <w:rPr>
          <w:rFonts w:ascii="Arial" w:cs="Arial" w:eastAsia="Arial" w:hAnsi="Arial"/>
          <w:color w:val="64748B"/>
          <w:sz w:val="18"/>
          <w:szCs w:val="18"/>
        </w:rPr>
        <w:t xml:space="preserve">Structured for: Business Problem · Dashboard Walkthrough · Predictive Model · Statistical Methods · Model Validation · What-If Analysis · Management Recommendation</w:t>
      </w:r>
    </w:p>
    <w:p>
      <w:r>
        <w:br w:type="page"/>
      </w:r>
    </w:p>
    <w:p>
      <w:pPr>
        <w:pStyle w:val="Heading1"/>
        <w:spacing w:after="120" w:before="280"/>
      </w:pPr>
      <w:r>
        <w:rPr>
          <w:rFonts w:ascii="Arial" w:cs="Arial" w:eastAsia="Arial" w:hAnsi="Arial"/>
          <w:b/>
          <w:bCs/>
        </w:rPr>
        <w:t xml:space="preserve">1. Business Problem</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0:00 – 0:40   •   SHOW: Dashboard title header — "Northern Retail Analytics"</w:t>
      </w:r>
    </w:p>
    <w:p>
      <w:pPr>
        <w:spacing w:after="160" w:line="300"/>
      </w:pPr>
      <w:r>
        <w:rPr>
          <w:rFonts w:ascii="Arial" w:cs="Arial" w:eastAsia="Arial" w:hAnsi="Arial"/>
          <w:sz w:val="23"/>
          <w:szCs w:val="23"/>
        </w:rPr>
        <w:t xml:space="preserve">Good morning. I'm going to walk you through Northern Retail Analytics, a predictive decision-support dashboard I built for a Canadian retail chain — eight stores across five regions, four product categories, and two full years of weekly data: 3,328 observations from January 2024 through December 2025.</w:t>
      </w:r>
    </w:p>
    <w:p>
      <w:pPr>
        <w:spacing w:after="160" w:line="300"/>
      </w:pPr>
      <w:r>
        <w:rPr>
          <w:rFonts w:ascii="Arial" w:cs="Arial" w:eastAsia="Arial" w:hAnsi="Arial"/>
          <w:sz w:val="23"/>
          <w:szCs w:val="23"/>
        </w:rPr>
        <w:t xml:space="preserve">The business problem management brought to me is simple to state and hard to answer: we're growing sales, but is that growth actually turning into profit? Which cities and categories are pulling their weight, and which aren't? Can we trust a forecast enough to plan a quarter ahead? And if we pull a lever — more marketing, a deeper discount, fewer labour hours — what actually happens to the bottom line, not just to sales? Every section of this dashboard answers one piece of that question, and it's built to move management from what already happened, to why, to what's coming, to what to do about it.</w:t>
      </w:r>
    </w:p>
    <w:p>
      <w:pPr>
        <w:pStyle w:val="Heading1"/>
        <w:spacing w:after="120" w:before="280"/>
      </w:pPr>
      <w:r>
        <w:rPr>
          <w:rFonts w:ascii="Arial" w:cs="Arial" w:eastAsia="Arial" w:hAnsi="Arial"/>
          <w:b/>
          <w:bCs/>
        </w:rPr>
        <w:t xml:space="preserve">2. Dashboard Walkthrough</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0:40 – 2:30   •   SHOW: Filter bar, then scroll Section 1 (KPIs) through Section 8 (Forecast)</w:t>
      </w:r>
    </w:p>
    <w:p>
      <w:pPr>
        <w:spacing w:after="160" w:line="300"/>
      </w:pPr>
      <w:r>
        <w:rPr>
          <w:rFonts w:ascii="Arial" w:cs="Arial" w:eastAsia="Arial" w:hAnsi="Arial"/>
          <w:sz w:val="23"/>
          <w:szCs w:val="23"/>
        </w:rPr>
        <w:t xml:space="preserve">Starting at the top: the filter bar lets management slice everything below by city, region, category, store format, and date range — every number on this page recalculates live off whatever's selected; nothing is precomputed for one view.</w:t>
      </w:r>
    </w:p>
    <w:p>
      <w:pPr>
        <w:spacing w:after="160" w:line="300"/>
      </w:pPr>
      <w:r>
        <w:rPr>
          <w:rFonts w:ascii="Arial" w:cs="Arial" w:eastAsia="Arial" w:hAnsi="Arial"/>
          <w:sz w:val="23"/>
          <w:szCs w:val="23"/>
        </w:rPr>
        <w:t xml:space="preserve">Section 1 is the Executive KPI Summary — sixteen live cards. Actual sales landed at $91.4 million against an $83.5 million budget, a 9.5% favourable variance. Actual expenses were $86.5 million against a $78.6 million budget — a 10.0% unfavourable variance, meaning we overspent. Net that out and operating profit is $4.9 million, a 5.4% margin. The forecast cards project $11.0 million in sales and $10.4 million in expenses over the next 12 weeks, and there's a probability card right there too: 88% chance of meeting the sales budget in any given week, 99% chance of overrunning the expense budget. That last number alone tells you where the real risk in this business sits — it isn't sales, it's cost control.</w:t>
      </w:r>
    </w:p>
    <w:p>
      <w:pPr>
        <w:spacing w:after="160" w:line="300"/>
      </w:pPr>
      <w:r>
        <w:rPr>
          <w:rFonts w:ascii="Arial" w:cs="Arial" w:eastAsia="Arial" w:hAnsi="Arial"/>
          <w:sz w:val="23"/>
          <w:szCs w:val="23"/>
        </w:rPr>
        <w:t xml:space="preserve">Section 2, Descriptive Analytics, gives mean, median, standard deviation, coefficient of variation, and a rolling average for any metric, broken down by city, region, category or format. Section 3, Variance Analysis, turns actual-versus-budget into green and red favourable/unfavourable coding by segment. Section 4, Segmentation, is where I built four rule-based cuts of the business — city performance, category growth, cost segments, and promotion sensitivity — plus two custom cuts I'll come back to under What-If. Section 6 is a correlation heatmap grouped by business role — sales drivers, expense drivers, market context, and outcomes — so you scan one quadrant instead of a wall of numbers. And Section 8 is the 12-week forecast chart: actual history, the fitted line, the forecast itself, the budget overlay, and a shaded 95% prediction band, so you see the forecast's own uncertainty, not just a single point estimate.</w:t>
      </w:r>
    </w:p>
    <w:p>
      <w:pPr>
        <w:pStyle w:val="Heading1"/>
        <w:spacing w:after="120" w:before="280"/>
      </w:pPr>
      <w:r>
        <w:rPr>
          <w:rFonts w:ascii="Arial" w:cs="Arial" w:eastAsia="Arial" w:hAnsi="Arial"/>
          <w:b/>
          <w:bCs/>
        </w:rPr>
        <w:t xml:space="preserve">3. Predictive Model</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2:30 – 3:45   •   SHOW: Section 7 — Predictive Modelling, and the "Variable selection" panel</w:t>
      </w:r>
    </w:p>
    <w:p>
      <w:pPr>
        <w:spacing w:after="160" w:line="300"/>
      </w:pPr>
      <w:r>
        <w:rPr>
          <w:rFonts w:ascii="Arial" w:cs="Arial" w:eastAsia="Arial" w:hAnsi="Arial"/>
          <w:sz w:val="23"/>
          <w:szCs w:val="23"/>
        </w:rPr>
        <w:t xml:space="preserve">Underneath the dashboard sit two regression models, and they're not independent — they're chained.</w:t>
      </w:r>
    </w:p>
    <w:p>
      <w:pPr>
        <w:spacing w:after="160" w:line="300"/>
      </w:pPr>
      <w:r>
        <w:rPr>
          <w:rFonts w:ascii="Arial" w:cs="Arial" w:eastAsia="Arial" w:hAnsi="Arial"/>
          <w:sz w:val="23"/>
          <w:szCs w:val="23"/>
        </w:rPr>
        <w:t xml:space="preserve">Model 1 predicts Sales Revenue from nine operational and market drivers: foot traffic, conversion rate, average transaction value, marketing spend, discount rate, competitor price index, inventory availability, consumer confidence, and a holiday flag. I chose these because a manager can actually observe or influence every one of them before the week's sales happen. I deliberately excluded variables like Transactions and Sales Budget — Transactions is just foot traffic times conversion rate, so including it would double-count predictors already in the model, and Sales Budget is set before the fact, so it can't explain the outcome.</w:t>
      </w:r>
    </w:p>
    <w:p>
      <w:pPr>
        <w:spacing w:after="160" w:line="300"/>
      </w:pPr>
      <w:r>
        <w:rPr>
          <w:rFonts w:ascii="Arial" w:cs="Arial" w:eastAsia="Arial" w:hAnsi="Arial"/>
          <w:sz w:val="23"/>
          <w:szCs w:val="23"/>
        </w:rPr>
        <w:t xml:space="preserve">Model 2 predicts Total Expense from eight drivers: sales volume, COGS rate, labour hours, average hourly wage, marketing spend, shipping cost per online order, return rate, and utilities. Here's the chain: Model 2 does not use the actual Sales Revenue for that week — it uses Model 1's predicted sales. So when a manager raises foot traffic or marketing spend in the What-If tool, that change flows through Model 1 into a new sales number, and that new sales number automatically flows into Model 2 as a cost driver. That's what makes the downstream profit figure a genuine prediction, not two disconnected guesses. I also excluded Rent Expense from Model 2 on purpose — it's a fixed lease cost that doesn't move with weekly decisions, so it belongs in the model's intercept, not as a controllable driver.</w:t>
      </w:r>
    </w:p>
    <w:p>
      <w:pPr>
        <w:pStyle w:val="Heading1"/>
        <w:spacing w:after="120" w:before="280"/>
      </w:pPr>
      <w:r>
        <w:rPr>
          <w:rFonts w:ascii="Arial" w:cs="Arial" w:eastAsia="Arial" w:hAnsi="Arial"/>
          <w:b/>
          <w:bCs/>
        </w:rPr>
        <w:t xml:space="preserve">4. Statistical Methods</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3:45 – 5:30   •   SHOW: Section 3 (Variance), Section 5 (Probability), Section 4 (Segmentation), Section 6 (Correlation)</w:t>
      </w:r>
    </w:p>
    <w:p>
      <w:pPr>
        <w:spacing w:after="160" w:line="300"/>
      </w:pPr>
      <w:r>
        <w:rPr>
          <w:rFonts w:ascii="Arial" w:cs="Arial" w:eastAsia="Arial" w:hAnsi="Arial"/>
          <w:sz w:val="23"/>
          <w:szCs w:val="23"/>
        </w:rPr>
        <w:t xml:space="preserve">Four concepts this dashboard leans on, and how each is actually computed.</w:t>
      </w:r>
    </w:p>
    <w:p>
      <w:pPr>
        <w:spacing w:after="160" w:line="300"/>
      </w:pPr>
      <w:r>
        <w:rPr>
          <w:rFonts w:ascii="Arial" w:cs="Arial" w:eastAsia="Arial" w:hAnsi="Arial"/>
          <w:sz w:val="23"/>
          <w:szCs w:val="23"/>
        </w:rPr>
        <w:t xml:space="preserve">Variance is actual minus budget, divided by budget, for both sales and expense, every week. Across the full dataset the average weekly sales variance is 8.4%, the median is 8.0%, and the standard deviation is 7.5% — that spread matters because it's the same volatility that widens the forecast's uncertainty band later.</w:t>
      </w:r>
    </w:p>
    <w:p>
      <w:pPr>
        <w:spacing w:after="160" w:line="300"/>
      </w:pPr>
      <w:r>
        <w:rPr>
          <w:rFonts w:ascii="Arial" w:cs="Arial" w:eastAsia="Arial" w:hAnsi="Arial"/>
          <w:sz w:val="23"/>
          <w:szCs w:val="23"/>
        </w:rPr>
        <w:t xml:space="preserve">Probability is done two ways, and I was careful not to invent a percentage. The historical-frequency numbers — like the 88% chance of meeting sales budget — are the literal share of the 3,328 weeks in the data where that condition held, run through 1,200 bootstrap resamples to get a 95% confidence interval, so you see the estimate's own uncertainty. The model-based probabilities, which drive the What-If tool, use a normal approximation: P(actual ≥ threshold) equals the normal CDF of (predicted minus threshold) divided by the model's residual standard deviation — that residual standard deviation comes straight out of the regression.</w:t>
      </w:r>
    </w:p>
    <w:p>
      <w:pPr>
        <w:spacing w:after="160" w:line="300"/>
      </w:pPr>
      <w:r>
        <w:rPr>
          <w:rFonts w:ascii="Arial" w:cs="Arial" w:eastAsia="Arial" w:hAnsi="Arial"/>
          <w:sz w:val="23"/>
          <w:szCs w:val="23"/>
        </w:rPr>
        <w:t xml:space="preserve">Segmentation is rule-based on purpose, so it's auditable. City performance and cost segments split at the median; category growth splits at zero year-over-year growth; promotion sensitivity is the Pearson correlation between a category's discount rate and its transaction count. I also built a custom segmentation beyond what was asked: every city-by-category combination — 32 of them — ranked by operating margin and split into thirds: High, Mid, and Low Performer. That matters because the plain city view can hide a lot — North Vancouver looks strong on sales variance but actually runs a negative margin. The margin-based tercile cut catches that: the High tier averages 11.6% margin, the Low tier averages negative 10.4% — a 22-point spread the city-only view alone would average away.</w:t>
      </w:r>
    </w:p>
    <w:p>
      <w:pPr>
        <w:spacing w:after="160" w:line="300"/>
      </w:pPr>
      <w:r>
        <w:rPr>
          <w:rFonts w:ascii="Arial" w:cs="Arial" w:eastAsia="Arial" w:hAnsi="Arial"/>
          <w:sz w:val="23"/>
          <w:szCs w:val="23"/>
        </w:rPr>
        <w:t xml:space="preserve">Regression is Ordinary Least Squares, solved with the normal equations. Every coefficient reads the same way: holding every other driver constant, a one-unit change in this variable moves the outcome by this many dollars. Conversion rate has the largest coefficient in Model 1, $54,549 per unit, significant at p &lt; 0.001.</w:t>
      </w:r>
    </w:p>
    <w:p>
      <w:pPr>
        <w:spacing w:after="160" w:line="300"/>
      </w:pPr>
      <w:r>
        <w:rPr>
          <w:rFonts w:ascii="Arial" w:cs="Arial" w:eastAsia="Arial" w:hAnsi="Arial"/>
          <w:sz w:val="23"/>
          <w:szCs w:val="23"/>
        </w:rPr>
        <w:t xml:space="preserve">Forecasting decomposes the weekly series into a linear trend fit by OLS on the week index, plus a week-of-year seasonal index — the average detrended value for each calendar week, re-centered to zero so it purely captures the repeating pattern. The 12-week forecast continues the trend and reapplies the matching seasonal index, and the 95% band is ±1.96 times the residual standard deviation.</w:t>
      </w:r>
    </w:p>
    <w:p>
      <w:pPr>
        <w:pStyle w:val="Heading1"/>
        <w:spacing w:after="120" w:before="280"/>
      </w:pPr>
      <w:r>
        <w:rPr>
          <w:rFonts w:ascii="Arial" w:cs="Arial" w:eastAsia="Arial" w:hAnsi="Arial"/>
          <w:b/>
          <w:bCs/>
        </w:rPr>
        <w:t xml:space="preserve">5. Model Validation</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5:30 – 7:00   •   SHOW: Section 9 — Model Validation table</w:t>
      </w:r>
    </w:p>
    <w:p>
      <w:pPr>
        <w:spacing w:after="160" w:line="300"/>
      </w:pPr>
      <w:r>
        <w:rPr>
          <w:rFonts w:ascii="Arial" w:cs="Arial" w:eastAsia="Arial" w:hAnsi="Arial"/>
          <w:sz w:val="23"/>
          <w:szCs w:val="23"/>
        </w:rPr>
        <w:t xml:space="preserve">None of this is worth using if it doesn't hold up on data the model never saw, so I validated both models with a time-based 80/20 split — the models train only on the earliest 80% of weeks and get scored on the most recent 20%, which is the honest way to validate anything time-ordered; a random shuffle would leak future information into training and flatter the numbers.</w:t>
      </w:r>
    </w:p>
    <w:p>
      <w:pPr>
        <w:spacing w:after="160" w:line="300"/>
      </w:pPr>
      <w:r>
        <w:rPr>
          <w:rFonts w:ascii="Arial" w:cs="Arial" w:eastAsia="Arial" w:hAnsi="Arial"/>
          <w:sz w:val="23"/>
          <w:szCs w:val="23"/>
        </w:rPr>
        <w:t xml:space="preserve">Model 1, Sales, trained on 2,656 rows and tested on 672 it never saw: 89.8% R² out of sample, mean absolute error of $3,078, RMSE of $4,411, and a MAPE of 11.1% — on a typical unseen week, the sales prediction is off by about 11%. Model 2, Expense, is even tighter out of sample: 99.7% R², MAE of $433, RMSE of $559, MAPE of 1.7%.</w:t>
      </w:r>
    </w:p>
    <w:p>
      <w:pPr>
        <w:spacing w:after="160" w:line="300"/>
      </w:pPr>
      <w:r>
        <w:rPr>
          <w:rFonts w:ascii="Arial" w:cs="Arial" w:eastAsia="Arial" w:hAnsi="Arial"/>
          <w:sz w:val="23"/>
          <w:szCs w:val="23"/>
        </w:rPr>
        <w:t xml:space="preserve">That near-perfect expense fit is expected, not a red flag, and I want to be upfront about why: a large share of Total Expense is close to an accounting identity of its own inputs — COGS Expense is approximately sales times COGS rate, labour expense is approximately hours times wage. The regression is partly recovering that arithmetic, which is why it fits so well. It's still useful for planning, but I'd trust the driver ranking more than any single coefficient's exact value, since several predictors move together.</w:t>
      </w:r>
    </w:p>
    <w:p>
      <w:pPr>
        <w:pStyle w:val="Heading1"/>
        <w:spacing w:after="120" w:before="280"/>
      </w:pPr>
      <w:r>
        <w:rPr>
          <w:rFonts w:ascii="Arial" w:cs="Arial" w:eastAsia="Arial" w:hAnsi="Arial"/>
          <w:b/>
          <w:bCs/>
        </w:rPr>
        <w:t xml:space="preserve">6. What-If Analysis (Live Demonstration)</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7:00 – 8:45   •   SHOW: Section 10 — What-If Analysis. Click Base, then Optimistic, then Conservative, pausing on the KPI cards, driver-contribution charts, and probability table after each click.</w:t>
      </w:r>
    </w:p>
    <w:p>
      <w:pPr>
        <w:spacing w:after="160" w:line="300"/>
      </w:pPr>
      <w:r>
        <w:rPr>
          <w:rFonts w:ascii="Arial" w:cs="Arial" w:eastAsia="Arial" w:hAnsi="Arial"/>
          <w:sz w:val="23"/>
          <w:szCs w:val="23"/>
        </w:rPr>
        <w:t xml:space="preserve">The What-If panel has eleven sliders across both models — six sales drivers, five expense drivers — and three preset buttons: Conservative, Base, and Optimistic, on top of dragging any individual slider yourself.</w:t>
      </w:r>
    </w:p>
    <w:p>
      <w:pPr>
        <w:spacing w:after="160" w:line="300"/>
      </w:pPr>
      <w:r>
        <w:rPr>
          <w:rFonts w:ascii="Arial" w:cs="Arial" w:eastAsia="Arial" w:hAnsi="Arial"/>
          <w:sz w:val="23"/>
          <w:szCs w:val="23"/>
        </w:rPr>
        <w:t xml:space="preserve">At Base — the filtered average — the model predicts $27,474 in sales, $25,993 in expense, $1,481 in profit, a 5.4% margin, for a typical city-category-week.</w:t>
      </w:r>
    </w:p>
    <w:p>
      <w:pPr>
        <w:spacing w:after="160" w:line="300"/>
      </w:pPr>
      <w:r>
        <w:rPr>
          <w:rFonts w:ascii="Arial" w:cs="Arial" w:eastAsia="Arial" w:hAnsi="Arial"/>
          <w:sz w:val="23"/>
          <w:szCs w:val="23"/>
        </w:rPr>
        <w:t xml:space="preserve">Watch what happens when I click Optimistic — higher foot traffic, conversion, marketing spend, inventory availability, and lower discounting on the sales side, lower cost rates on the expense side, all at once. Predicted sales jump to $30,897, up $3,423. But expense also rises, to $28,569, up $2,576 — because the higher predicted sales cascade straight into Model 2 as a cost driver; nothing here is a free lunch. Net, profit rises to $2,328, up $847, and margin improves to 7.5%. The probability panel moves with it: probability of meeting the sales budget jumps from 74% to 94%, positive-profit probability rises from 65% to 73%. One exception — probability of staying within the expense budget stays near zero either way, because expenses overrun budget in 99% of weeks in this data regardless of scenario. That's a structural budgeting problem the What-If tool can't optimism its way out of.</w:t>
      </w:r>
    </w:p>
    <w:p>
      <w:pPr>
        <w:spacing w:after="160" w:line="300"/>
      </w:pPr>
      <w:r>
        <w:rPr>
          <w:rFonts w:ascii="Arial" w:cs="Arial" w:eastAsia="Arial" w:hAnsi="Arial"/>
          <w:sz w:val="23"/>
          <w:szCs w:val="23"/>
        </w:rPr>
        <w:t xml:space="preserve">Now Conservative — lower traffic and marketing, deeper discounting to defend volume, higher cost rates. Sales fall to $25,551, expense falls too, to $24,521, but profit still drops to $1,030 and margin to 4.0%, and the probability of meeting the sales budget falls from 74% to 55%.</w:t>
      </w:r>
    </w:p>
    <w:p>
      <w:pPr>
        <w:spacing w:after="160" w:line="300"/>
      </w:pPr>
      <w:r>
        <w:rPr>
          <w:rFonts w:ascii="Arial" w:cs="Arial" w:eastAsia="Arial" w:hAnsi="Arial"/>
          <w:sz w:val="23"/>
          <w:szCs w:val="23"/>
        </w:rPr>
        <w:t xml:space="preserve">Every one of those dollar changes decomposes on the driver-contribution chart next to it. In the Optimistic scenario, foot traffic alone contributes $2,369 of the sales gain — by far the largest single driver — while, interestingly, the marketing-spend slider contributes about negative $161, because that coefficient in Model 1 isn't statistically significant and behaves oddly given how correlated marketing is with the other drivers. That's not a bug — that's the model being honest about a limitation, and it's exactly the kind of thing I'd flag to management rather than hide.</w:t>
      </w:r>
    </w:p>
    <w:p>
      <w:pPr>
        <w:pStyle w:val="Heading1"/>
        <w:spacing w:after="120" w:before="280"/>
      </w:pPr>
      <w:r>
        <w:rPr>
          <w:rFonts w:ascii="Arial" w:cs="Arial" w:eastAsia="Arial" w:hAnsi="Arial"/>
          <w:b/>
          <w:bCs/>
        </w:rPr>
        <w:t xml:space="preserve">7. Management Recommendation</w:t>
      </w:r>
    </w:p>
    <w:p>
      <w:pPr>
        <w:pBdr>
          <w:top w:val="single" w:color="2563EB" w:sz="2"/>
          <w:bottom w:val="single" w:color="2563EB" w:sz="2"/>
          <w:left w:val="single" w:color="2563EB" w:sz="2"/>
          <w:right w:val="single" w:color="2563EB" w:sz="2"/>
        </w:pBdr>
        <w:shd w:fill="EAF1FB"/>
        <w:spacing w:after="160" w:before="60"/>
      </w:pPr>
      <w:r>
        <w:rPr>
          <w:rFonts w:ascii="Arial" w:cs="Arial" w:eastAsia="Arial" w:hAnsi="Arial"/>
          <w:i/>
          <w:iCs/>
          <w:color w:val="1D4ED8"/>
          <w:sz w:val="20"/>
          <w:szCs w:val="20"/>
        </w:rPr>
        <w:t xml:space="preserve">▶ TIME: 8:45 – 10:00   •   SHOW: Return to Section 1 (Executive KPIs) or Section 11 (Predictive Storytelling)</w:t>
      </w:r>
    </w:p>
    <w:p>
      <w:pPr>
        <w:spacing w:after="160" w:line="300"/>
      </w:pPr>
      <w:r>
        <w:rPr>
          <w:rFonts w:ascii="Arial" w:cs="Arial" w:eastAsia="Arial" w:hAnsi="Arial"/>
          <w:sz w:val="23"/>
          <w:szCs w:val="23"/>
        </w:rPr>
        <w:t xml:space="preserve">Three recommendations, in order of priority.</w:t>
      </w:r>
    </w:p>
    <w:p>
      <w:pPr>
        <w:pStyle w:val="ListParagraph"/>
        <w:numPr>
          <w:ilvl w:val="0"/>
          <w:numId w:val="2"/>
        </w:numPr>
        <w:spacing w:after="100" w:line="300"/>
      </w:pPr>
      <w:r>
        <w:rPr>
          <w:rFonts w:ascii="Arial" w:cs="Arial" w:eastAsia="Arial" w:hAnsi="Arial"/>
          <w:sz w:val="23"/>
          <w:szCs w:val="23"/>
        </w:rPr>
        <w:t xml:space="preserve">Cost control is the actual crisis here, not sales. We overrun the expense budget 99% of weeks and profit is only positive 62% of weeks — sales growth alone will not fix that. Halifax is the clearest case: positive sales variance, but a negative 9.9% margin and the highest expense ratio in the company, 109.9% — expenses there exceed revenue on that measure. That's where I'd start.</w:t>
      </w:r>
    </w:p>
    <w:p>
      <w:pPr>
        <w:pStyle w:val="ListParagraph"/>
        <w:numPr>
          <w:ilvl w:val="0"/>
          <w:numId w:val="2"/>
        </w:numPr>
        <w:spacing w:after="100" w:line="300"/>
      </w:pPr>
      <w:r>
        <w:rPr>
          <w:rFonts w:ascii="Arial" w:cs="Arial" w:eastAsia="Arial" w:hAnsi="Arial"/>
          <w:sz w:val="23"/>
          <w:szCs w:val="23"/>
        </w:rPr>
        <w:t xml:space="preserve">The fastest, highest-confidence lever on the sales side is conversion rate and inventory availability — both large, statistically significant coefficients in Model 1 — ahead of marketing spend, which the model says is not currently paying for itself.</w:t>
      </w:r>
    </w:p>
    <w:p>
      <w:pPr>
        <w:pStyle w:val="ListParagraph"/>
        <w:numPr>
          <w:ilvl w:val="0"/>
          <w:numId w:val="2"/>
        </w:numPr>
        <w:spacing w:after="100" w:line="300"/>
      </w:pPr>
      <w:r>
        <w:rPr>
          <w:rFonts w:ascii="Arial" w:cs="Arial" w:eastAsia="Arial" w:hAnsi="Arial"/>
          <w:sz w:val="23"/>
          <w:szCs w:val="23"/>
        </w:rPr>
        <w:t xml:space="preserve">Use the promotion-sensitivity segmentation before the next campaign — discounting moves Electronics and Home &amp; Kitchen meaningfully but has almost no measured effect on Apparel, so a blanket discount strategy is leaving money on the table in half the categories.</w:t>
      </w:r>
    </w:p>
    <w:p>
      <w:pPr>
        <w:spacing w:after="160" w:line="300"/>
      </w:pPr>
      <w:r>
        <w:rPr>
          <w:rFonts w:ascii="Arial" w:cs="Arial" w:eastAsia="Arial" w:hAnsi="Arial"/>
          <w:sz w:val="23"/>
          <w:szCs w:val="23"/>
        </w:rPr>
        <w:t xml:space="preserve">Put together: this business has a real, validated sales engine — a model that holds up at roughly 90% accuracy on data it's never seen — but profit is being eaten by cost overruns that sales growth alone won't solve. That's the decision this dashboard is built to support. Thank you.</w:t>
      </w:r>
    </w:p>
    <w:p>
      <w:r>
        <w:br w:type="page"/>
      </w:r>
    </w:p>
    <w:p>
      <w:pPr>
        <w:pStyle w:val="Heading1"/>
        <w:spacing w:after="120" w:before="280"/>
      </w:pPr>
      <w:r>
        <w:rPr>
          <w:rFonts w:ascii="Arial" w:cs="Arial" w:eastAsia="Arial" w:hAnsi="Arial"/>
          <w:b/>
          <w:bCs/>
        </w:rPr>
        <w:t xml:space="preserve">Presenter Notes</w:t>
      </w:r>
    </w:p>
    <w:p>
      <w:pPr>
        <w:pStyle w:val="ListParagraph"/>
        <w:numPr>
          <w:ilvl w:val="0"/>
          <w:numId w:val="2"/>
        </w:numPr>
        <w:spacing w:after="100" w:line="300"/>
      </w:pPr>
      <w:r>
        <w:rPr>
          <w:rFonts w:ascii="Arial" w:cs="Arial" w:eastAsia="Arial" w:hAnsi="Arial"/>
          <w:sz w:val="23"/>
          <w:szCs w:val="23"/>
        </w:rPr>
        <w:t xml:space="preserve">The blue cue boxes are stage directions for you, the presenter — they tell you which dashboard section and interaction to show at that moment; they are not meant to be read aloud.</w:t>
      </w:r>
    </w:p>
    <w:p>
      <w:pPr>
        <w:pStyle w:val="ListParagraph"/>
        <w:numPr>
          <w:ilvl w:val="0"/>
          <w:numId w:val="2"/>
        </w:numPr>
        <w:spacing w:after="100" w:line="300"/>
      </w:pPr>
      <w:r>
        <w:rPr>
          <w:rFonts w:ascii="Arial" w:cs="Arial" w:eastAsia="Arial" w:hAnsi="Arial"/>
          <w:sz w:val="23"/>
          <w:szCs w:val="23"/>
        </w:rPr>
        <w:t xml:space="preserve">Time marks are cumulative, so you can check your pace as you go. Practice the What-If section (Section 6) live in the actual dashboard at least twice — clicking Base → Optimistic → Conservative — so the numbers you say match what appears on screen without hesitation.</w:t>
      </w:r>
    </w:p>
    <w:p>
      <w:pPr>
        <w:pStyle w:val="ListParagraph"/>
        <w:numPr>
          <w:ilvl w:val="0"/>
          <w:numId w:val="2"/>
        </w:numPr>
        <w:spacing w:after="100" w:line="300"/>
      </w:pPr>
      <w:r>
        <w:rPr>
          <w:rFonts w:ascii="Arial" w:cs="Arial" w:eastAsia="Arial" w:hAnsi="Arial"/>
          <w:sz w:val="23"/>
          <w:szCs w:val="23"/>
        </w:rPr>
        <w:t xml:space="preserve">All dollar figures, percentages, R², RMSE, MAE and MAPE values in this script are read directly from the dashboard’s computed output (Executive KPIs, §7 Predictive Modelling, §9 Model Validation, §10 What-If) — if you change filters before presenting, re-check the numbers against what is actually on screen.</w:t>
      </w:r>
    </w:p>
    <w:p>
      <w:pPr>
        <w:pStyle w:val="ListParagraph"/>
        <w:numPr>
          <w:ilvl w:val="0"/>
          <w:numId w:val="2"/>
        </w:numPr>
        <w:spacing w:after="100" w:line="300"/>
      </w:pPr>
      <w:r>
        <w:rPr>
          <w:rFonts w:ascii="Arial" w:cs="Arial" w:eastAsia="Arial" w:hAnsi="Arial"/>
          <w:sz w:val="23"/>
          <w:szCs w:val="23"/>
        </w:rPr>
        <w:t xml:space="preserve">Be ready for a follow-up question on any number you say. Know, at minimum: why each variable was included or excluded from each model (§7’s Variable Selection panel), why the validation split is time-based rather than random, and why the expense model’s R² is so high (COGS Expense and Labour Expense are near-identities of their own inputs — see §9’s limitations note).</w:t>
      </w:r>
    </w:p>
    <w:p>
      <w:pPr>
        <w:pStyle w:val="ListParagraph"/>
        <w:numPr>
          <w:ilvl w:val="0"/>
          <w:numId w:val="2"/>
        </w:numPr>
        <w:spacing w:after="100" w:line="300"/>
      </w:pPr>
      <w:r>
        <w:rPr>
          <w:rFonts w:ascii="Arial" w:cs="Arial" w:eastAsia="Arial" w:hAnsi="Arial"/>
          <w:sz w:val="23"/>
          <w:szCs w:val="23"/>
        </w:rPr>
        <w:t xml:space="preserve">Total target length: about ten minutes at a calm, clear speaking pace. If you are running long, the Statistical Methods section (Section 4) is the safest one to trim — pick two of the four concepts to explain in depth and summarize the other two in one sentence each.</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2026-09-15T06:46:13.929Z</dcterms:created>
  <dcterms:modified xsi:type="dcterms:W3CDTF">2026-09-15T06:46:13.930Z</dcterms:modified>
</cp:coreProperties>
</file>

<file path=docProps/custom.xml><?xml version="1.0" encoding="utf-8"?>
<Properties xmlns="http://schemas.openxmlformats.org/officeDocument/2006/custom-properties" xmlns:vt="http://schemas.openxmlformats.org/officeDocument/2006/docPropsVTypes"/>
</file>