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600"/>
      </w:pPr>
      <w:r>
        <w:rPr>
          <w:b/>
          <w:bCs/>
          <w:color w:val="174C5B"/>
          <w:spacing w:val="40"/>
          <w:sz w:val="17"/>
          <w:szCs w:val="17"/>
        </w:rPr>
        <w:t xml:space="preserve">COLECCIÓN ANALISTA DE SISTEMAS  ·  TRONCO FUNDAMENTOS  ·  VOL. 07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4C5B" w:color="auto" w:val="clear"/>
            <w:tcMar>
              <w:top w:type="dxa" w:w="900"/>
              <w:left w:type="dxa" w:w="600"/>
              <w:bottom w:type="dxa" w:w="900"/>
              <w:right w:type="dxa" w:w="600"/>
            </w:tcMar>
          </w:tcPr>
          <w:p>
            <w:pPr>
              <w:spacing w:after="36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76"/>
                <w:szCs w:val="76"/>
              </w:rPr>
              <w:t xml:space="preserve">Arquitectura</w:t>
            </w:r>
          </w:p>
          <w:p>
            <w:pPr>
              <w:spacing w:after="0"/>
            </w:pPr>
            <w:r>
              <w:rPr>
                <w:color w:val="DDEFF2"/>
                <w:sz w:val="28"/>
                <w:szCs w:val="28"/>
              </w:rPr>
              <w:t xml:space="preserve">Las decisiones que sostienen</w:t>
            </w:r>
          </w:p>
          <w:p>
            <w:r>
              <w:rPr>
                <w:color w:val="DDEFF2"/>
                <w:sz w:val="28"/>
                <w:szCs w:val="28"/>
              </w:rPr>
              <w:t xml:space="preserve">un sistema en el tiempo</w:t>
            </w:r>
          </w:p>
        </w:tc>
      </w:tr>
    </w:tbl>
    <w:p>
      <w:pPr>
        <w:spacing w:after="60" w:before="2400"/>
      </w:pPr>
      <w:r>
        <w:rPr>
          <w:b/>
          <w:bCs/>
          <w:color w:val="174C5B"/>
          <w:sz w:val="22"/>
          <w:szCs w:val="22"/>
        </w:rPr>
        <w:t xml:space="preserve">Fundamentos · Volumen 07</w:t>
      </w:r>
    </w:p>
    <w:p>
      <w:pPr>
        <w:spacing w:after="60"/>
      </w:pPr>
      <w:r>
        <w:rPr>
          <w:color w:val="66747A"/>
          <w:sz w:val="20"/>
          <w:szCs w:val="20"/>
        </w:rPr>
        <w:t xml:space="preserve">Requiere: Vol. 01 a 06  ·  Nivel: intermedio</w:t>
      </w:r>
    </w:p>
    <w:p>
      <w:pPr>
        <w:spacing w:after="60"/>
      </w:pPr>
      <w:r>
        <w:rPr>
          <w:color w:val="66747A"/>
          <w:sz w:val="20"/>
          <w:szCs w:val="20"/>
        </w:rPr>
        <w:t xml:space="preserve">Cierra el tronco Fundamentos</w:t>
      </w:r>
    </w:p>
    <w:p>
      <w:r>
        <w:rPr>
          <w:i/>
          <w:iCs/>
          <w:color w:val="66747A"/>
          <w:sz w:val="20"/>
          <w:szCs w:val="20"/>
        </w:rPr>
        <w:t xml:space="preserve">Borrador editorial · Versión 0.1 · Septiembre 2026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/>
      </w:r>
    </w:p>
    <w:p>
      <w:pPr>
        <w:pStyle w:val="Heading1"/>
        <w:spacing w:after="160"/>
      </w:pPr>
      <w:r>
        <w:t xml:space="preserve">Sobre este volumen</w:t>
      </w:r>
    </w:p>
    <w:p>
      <w:pPr>
        <w:spacing w:after="110" w:line="276"/>
      </w:pPr>
      <w:r>
        <w:t xml:space="preserve">A lo largo de la colección tomamos muchas decisiones sobre Turnify: qué entra en el sistema, qué requisitos importan, cómo se comporta, cómo se guardan los datos y qué contrato expone. Algunas de esas decisiones son fáciles de cambiar; otras condicionan todo lo demás. Este volumen trata de estas últimas: la arquitectura.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La arquitectura no es un diagrama de cajas.</w:t>
            </w:r>
          </w:p>
          <w:p>
            <w:pPr>
              <w:spacing w:after="60" w:line="276"/>
            </w:pPr>
            <w:r>
              <w:t xml:space="preserve">Es el conjunto de decisiones que, si hubiera que cambiarlas, costarían mucho. El diagrama solo las comunica.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Propósito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Reconocer, tomar, comunicar y documentar decisiones arquitectónicas a partir de los atributos de calidad que el negocio necesita.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Público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Estudiantes que ya pasaron por requisitos, modelado, datos y APIs. Cada capítulo abre con un refresco de los conceptos que usa.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Competencias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Conocer, aplicar y analizar: atributos de calidad y escenarios; vistas y C4; estilos; capas y puertos; modularidad; datos y comunicación; despliegue; observabilidad; seguridad; registros de decisiones.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Caso transversal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Turnify completo. El volumen reúne las decisiones de los Vol. 01 a 06 y las ordena en una arquitectura.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Método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Cada capítulo empieza con un refresco de conceptos, los aplica a Turnify y termina con una práctica.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Lugar en el tronco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07 · Fundamentos. Requiere los Vol. 01 a 06 y cierra el tronco.</w:t>
            </w:r>
          </w:p>
        </w:tc>
      </w:tr>
    </w:tbl>
    <w:p>
      <w:pPr>
        <w:spacing w:after="160"/>
      </w:pPr>
    </w:p>
    <w:p>
      <w:pPr>
        <w:pStyle w:val="Heading2"/>
        <w:keepNext/>
        <w:pageBreakBefore/>
        <w:spacing w:after="100" w:before="240"/>
      </w:pPr>
      <w:r>
        <w:t xml:space="preserve">El recorrido</w:t>
      </w:r>
    </w:p>
    <w:p>
      <w:pPr>
        <w:spacing w:after="110" w:line="276"/>
      </w:pPr>
      <w:r>
        <w:t xml:space="preserve">Los capítulos 01 a 03 definen qué es la arquitectura y cómo se comunica; del 04 al 08, las decisiones de estructura; del 09 al 11, las de operación; el 12 enseña a registrarlas y a hacerlas evolucionar.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638"/>
      </w:tblGrid>
      <w:tr>
        <w:trPr>
          <w:cantSplit/>
          <w:tblHeader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Capítulo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pregunta que responde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¿Qué es arquitectura?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¿Qué decisiones son arquitectónicas y cuáles no?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Atributos de calidad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¿Qué tiene que hacer bien el sistema, y cómo lo medimos?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Vistas y el modelo C4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¿Cómo mostramos la arquitectura a distintas personas?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Estilos arquitectónicos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¿Monolito o microservicios?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Capas, puertos y adaptadores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¿Dónde viven las reglas de negocio?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Modularidad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¿Cómo dividimos el sistema para que cada parte cambie sola?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Los datos en la arquitectura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¿Una base o varias?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Comunicación entre componentes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¿Cuándo esperar y cuándo avisar?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Despliegue y escalabilidad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¿Dónde corre el sistema y cómo crece?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Observabilidad y operación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¿Cómo sabemos si funciona?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Seguridad como propiedad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¿Cómo se protege el sistema entero, no solo cada parte?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Decisiones y evolución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¿Cómo registramos lo que decidimos y cómo lo cambiamos?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40"/>
      </w:pPr>
      <w:r>
        <w:t xml:space="preserve">Cómo leer este cuadernillo</w:t>
      </w:r>
    </w:p>
    <w:p>
      <w:pPr>
        <w:spacing w:after="110" w:line="276"/>
      </w:pPr>
      <w:r>
        <w:t xml:space="preserve">Los recuadros cumplen la misma función que en los volúmenes anteriores, y cada capítulo abre con un </w:t>
      </w:r>
      <w:r>
        <w:rPr>
          <w:b/>
          <w:bCs/>
        </w:rPr>
        <w:t xml:space="preserve">Refresco de conceptos</w:t>
      </w:r>
      <w:r>
        <w:t xml:space="preserve">, como en los Vol. 05 y 06.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FFFFFF" w:sz="12"/>
              <w:left w:val="single" w:color="174C5B" w:sz="24"/>
              <w:bottom w:val="single" w:color="FFFFFF" w:sz="12"/>
              <w:right w:val="none" w:color="FFFFFF" w:sz="0"/>
            </w:tcBorders>
            <w:shd w:fill="EEF7F9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 idea que tenés que llevarte del capítulo. Hay una sola por capítulo.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FFFFF" w:sz="12"/>
              <w:left w:val="single" w:color="B86E00" w:sz="24"/>
              <w:bottom w:val="single" w:color="FFFFFF" w:sz="12"/>
              <w:right w:val="none" w:color="FFFFFF" w:sz="0"/>
            </w:tcBorders>
            <w:shd w:fill="FFF5E3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86E00"/>
                <w:spacing w:val="30"/>
                <w:sz w:val="16"/>
                <w:szCs w:val="16"/>
              </w:rPr>
              <w:t xml:space="preserve">EL CASO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Turnify y el lavadero: el ejemplo que acompaña toda la colección.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FFFFF" w:sz="12"/>
              <w:left w:val="single" w:color="2F5BB7" w:sz="24"/>
              <w:bottom w:val="single" w:color="FFFFFF" w:sz="12"/>
              <w:right w:val="none" w:color="FFFFFF" w:sz="0"/>
            </w:tcBorders>
            <w:shd w:fill="EEF2FC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 ejercicio, marcado con su nivel: conocer, aplicar o analizar. Las respuestas orientativas están al final.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FFFFFF" w:sz="12"/>
              <w:left w:val="single" w:color="B03A48" w:sz="24"/>
              <w:bottom w:val="single" w:color="FFFFFF" w:sz="12"/>
              <w:right w:val="none" w:color="FFFFFF" w:sz="0"/>
            </w:tcBorders>
            <w:shd w:fill="FCEEEF" w:color="auto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03A48"/>
                <w:spacing w:val="30"/>
                <w:sz w:val="16"/>
                <w:szCs w:val="16"/>
              </w:rPr>
              <w:t xml:space="preserve">ATENCIÓN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 error frecuente o una confusión que conviene evitar.</w:t>
            </w:r>
          </w:p>
        </w:tc>
      </w:tr>
    </w:tbl>
    <w:p>
      <w:pPr>
        <w:spacing w:after="100"/>
      </w:pPr>
    </w:p>
    <w:p>
      <w:pPr>
        <w:spacing w:after="110" w:line="276"/>
        <w:rPr>
          <w:color w:val="66747A"/>
          <w:sz w:val="20"/>
          <w:szCs w:val="20"/>
        </w:rPr>
      </w:pPr>
      <w:r>
        <w:rPr>
          <w:color w:val="66747A"/>
          <w:sz w:val="20"/>
          <w:szCs w:val="20"/>
        </w:rPr>
        <w:t xml:space="preserve">Las definiciones remiten a una fuente citada al final de cada capítulo; los ejemplos, diagramas y ejercicios son elaboración didáctica propia.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01</w:t>
      </w:r>
    </w:p>
    <w:p>
      <w:pPr>
        <w:pStyle w:val="Heading1"/>
        <w:spacing w:after="160"/>
      </w:pPr>
      <w:r>
        <w:t xml:space="preserve">¿Qué es arquitectura?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En el Vol. 02 marcamos dos requisitos como capaces de cambiar la arquitectura. Es hora de explicar qué quería decir eso.</w:t>
      </w:r>
    </w:p>
    <w:p>
      <w:pPr>
        <w:pStyle w:val="Heading2"/>
        <w:keepNext/>
        <w:spacing w:after="100" w:before="240"/>
      </w:pPr>
      <w:r>
        <w:rPr>
          <w:color w:val="66747A"/>
        </w:rPr>
        <w:t xml:space="preserve">Refresco de conceptos</w:t>
      </w:r>
      <w:r>
        <w:t xml:space="preserve"/>
      </w:r>
    </w:p>
    <w:p>
      <w:pPr>
        <w:spacing w:after="110" w:line="276"/>
      </w:pPr>
      <w:r>
        <w:t xml:space="preserve">No hay una única definición, pero las más citadas coinciden en lo esencial. Para </w:t>
      </w:r>
      <w:commentRangeStart w:id="0"/>
      <w:r>
        <w:t xml:space="preserve">Bass, Clements y Kazman</w:t>
      </w:r>
      <w:commentRangeEnd w:id="0"/>
      <w:r>
        <w:commentReference w:id="0"/>
      </w:r>
      <w:r>
        <w:t xml:space="preserve">, la arquitectura de un sistema es el conjunto de estructuras necesarias para razonar sobre él: elementos de software, las relaciones entre ellos y las propiedades de ambos.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Arquitectura (ISO 42010)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Los conceptos o propiedades fundamentales de un sistema en su entorno, y los principios que guían su construcción y su evolución.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Decisión arquitectónica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Una decisión que afecta la estructura del sistema o sus atributos de calidad y que es costosa de revertir.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Diseño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Las decisiones de menor alcance, que pueden cambiarse sin afectar al resto del sistema.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Compromiso (trade-off)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Mejorar una cualidad suele empeorar otra. Elegir una arquitectura es elegir qué compromisos se aceptan.</w:t>
            </w:r>
          </w:p>
        </w:tc>
      </w:tr>
    </w:tbl>
    <w:p>
      <w:pPr>
        <w:spacing w:after="160"/>
      </w:pPr>
    </w:p>
    <w:p>
      <w:pPr>
        <w:spacing w:after="110" w:line="276"/>
      </w:pPr>
      <w:commentRangeStart w:id="1"/>
      <w:r>
        <w:t xml:space="preserve">Richards y Ford</w:t>
      </w:r>
      <w:commentRangeEnd w:id="1"/>
      <w:r>
        <w:commentReference w:id="1"/>
      </w:r>
      <w:r>
        <w:t xml:space="preserve"> lo resumen en una frase que conviene recordar: en arquitectura de software, todo es un compromiso.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6E00" w:sz="24"/>
              <w:bottom w:val="none" w:color="FFFFFF" w:sz="0"/>
              <w:right w:val="none" w:color="FFFFFF" w:sz="0"/>
            </w:tcBorders>
            <w:shd w:fill="FFF5E3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86E00"/>
                <w:spacing w:val="30"/>
                <w:sz w:val="16"/>
                <w:szCs w:val="16"/>
              </w:rPr>
              <w:t xml:space="preserve">EL CASO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Decisiones de Turnify, grandes y chicas</w:t>
            </w:r>
          </w:p>
          <w:p>
            <w:pPr>
              <w:spacing w:after="60" w:line="276"/>
            </w:pPr>
            <w:r>
              <w:t xml:space="preserve">Usar una restricción de exclusión en PostgreSQL para impedir la doble reserva (Vol. 05) es arquitectónica: ata la regla de negocio más importante a un motor de base de datos concreto y a tener una sola base.</w:t>
            </w:r>
          </w:p>
          <w:p>
            <w:pPr>
              <w:spacing w:after="60" w:line="276"/>
            </w:pPr>
            <w:r>
              <w:t xml:space="preserve">Llamar a una columna duracion_min en lugar de duracion es de diseño: cambiarla cuesta poco.</w:t>
            </w:r>
          </w:p>
          <w:p>
            <w:pPr>
              <w:spacing w:after="60" w:line="276"/>
            </w:pPr>
            <w:r>
              <w:t xml:space="preserve">Exponer los identificadores como texto en la API (Vol. 06) está en el medio: es fácil hoy, pero cada consumidor nuevo la vuelve más difícil de cambiar.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Una decisión es arquitectónica si cambiarla después cuesta mucho.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CONOCER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¿Arquitectura o diseño?</w:t>
            </w:r>
          </w:p>
          <w:p>
            <w:pPr>
              <w:spacing w:after="60" w:line="276"/>
            </w:pPr>
            <w:r>
              <w:t xml:space="preserve">Clasificá estas decisiones de Turnify: usar PostgreSQL; nombrar el endpoint /turnos; cancelar cambiando el estado en lugar de borrar; usar React en el panel; usar claves de idempotencia en POST /turnos.</w:t>
            </w:r>
          </w:p>
        </w:tc>
      </w:tr>
    </w:tbl>
    <w:p>
      <w:pPr>
        <w:spacing w:after="4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ISO/IEC/IEEE 42010:2022 — Architecture description.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Bass, L., Clements, P. y Kazman, R. — </w:t>
      </w:r>
      <w:r>
        <w:rPr>
          <w:i/>
          <w:iCs/>
          <w:color w:val="66747A"/>
          <w:sz w:val="17"/>
          <w:szCs w:val="17"/>
        </w:rPr>
        <w:t xml:space="preserve">Software Architecture in Practice</w:t>
      </w:r>
      <w:r>
        <w:rPr>
          <w:color w:val="66747A"/>
          <w:sz w:val="17"/>
          <w:szCs w:val="17"/>
        </w:rPr>
        <w:t xml:space="preserve">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Richards, M. y Ford, N. — </w:t>
      </w:r>
      <w:r>
        <w:rPr>
          <w:i/>
          <w:iCs/>
          <w:color w:val="66747A"/>
          <w:sz w:val="17"/>
          <w:szCs w:val="17"/>
        </w:rPr>
        <w:t xml:space="preserve">Fundamentals of Software Architecture</w:t>
      </w:r>
      <w:r>
        <w:rPr>
          <w:color w:val="66747A"/>
          <w:sz w:val="17"/>
          <w:szCs w:val="17"/>
        </w:rPr>
        <w:t xml:space="preserve">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02</w:t>
      </w:r>
    </w:p>
    <w:p>
      <w:pPr>
        <w:pStyle w:val="Heading1"/>
        <w:spacing w:after="160"/>
      </w:pPr>
      <w:r>
        <w:t xml:space="preserve">Atributos de calidad y escenarios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Si la arquitectura consiste en elegir compromisos, primero hay que saber qué cualidades importan y cuánto.</w:t>
      </w:r>
    </w:p>
    <w:p>
      <w:pPr>
        <w:pStyle w:val="Heading2"/>
        <w:keepNext/>
        <w:spacing w:after="100" w:before="240"/>
      </w:pPr>
      <w:r>
        <w:rPr>
          <w:color w:val="66747A"/>
        </w:rPr>
        <w:t xml:space="preserve">Refresco de conceptos</w:t>
      </w:r>
      <w:r>
        <w:t xml:space="preserve">  ·  Calidad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Atributo de calidad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Una propiedad medible del sistema que indica qué tan bien satisface a sus stakeholders: rendimiento, disponibilidad, seguridad, facilidad de cambio. ISO/IEC 25010 las organiza en un modelo (Vol. 02, cap. 05).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Requisito significativo para la arquitectura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 requisito que tiene un efecto profundo en la arquitectura. Suelen ser requisitos de calidad, pero también restricciones del negocio o del equipo.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Una decisión ya tomada que no se discute: el presupuesto, el equipo disponible, una tecnología obligatoria.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Escenario de calidad</w:t>
            </w:r>
          </w:p>
        </w:tc>
        <w:tc>
          <w:tcPr>
            <w:tcW w:type="dxa" w:w="6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Una forma de volver medible un atributo, con seis partes: fuente, estímulo, entorno, artefacto, respuesta y medida de la respuesta.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40"/>
      </w:pPr>
      <w:r>
        <w:t xml:space="preserve">2.1 Un escenario para Turnify</w:t>
      </w:r>
    </w:p>
    <w:p>
      <w:pPr>
        <w:spacing w:after="110" w:line="276"/>
      </w:pPr>
      <w:r>
        <w:t xml:space="preserve">La plantilla de </w:t>
      </w:r>
      <w:commentRangeStart w:id="2"/>
      <w:r>
        <w:t xml:space="preserve">escenarios de calidad</w:t>
      </w:r>
      <w:commentRangeEnd w:id="2"/>
      <w:r>
        <w:commentReference w:id="2"/>
      </w:r>
      <w:r>
        <w:t xml:space="preserve"> obliga a convertir “tiene que ser rápido” en algo que se pueda comprobar. Tomemos TRN-NFR-001 del Vol. 02, que dejó abierto el valor de 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Turnify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Fuente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Clientes desde la app.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Estímulo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Consultan disponibilidad y reservan.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Entorno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Sábado de 9 a 11, la hora pico: hasta N = 30 usuarios simultáneos (valor acordado con el dueño).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Artefacto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La API de Turnify y su base de datos.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Respuesta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Devuelve la disponibilidad y confirma las reservas sin doble asignación.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Medida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95 % de las consultas responde en 2 segundos o menos; cero turnos superpuestos.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3A48" w:sz="24"/>
              <w:bottom w:val="none" w:color="FFFFFF" w:sz="0"/>
              <w:right w:val="none" w:color="FFFFFF" w:sz="0"/>
            </w:tcBorders>
            <w:shd w:fill="FCEEEF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03A48"/>
                <w:spacing w:val="30"/>
                <w:sz w:val="16"/>
                <w:szCs w:val="16"/>
              </w:rPr>
              <w:t xml:space="preserve">ATENCIÓN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El N = 30 es un ejemplo.</w:t>
            </w:r>
          </w:p>
          <w:p>
            <w:pPr>
              <w:spacing w:after="60" w:line="276"/>
            </w:pPr>
            <w:r>
              <w:t xml:space="preserve">En un proyecto real sale de los datos del negocio (¿cuántos turnos se toman un sábado?), no de una suposición del analista.</w:t>
            </w:r>
          </w:p>
        </w:tc>
      </w:tr>
    </w:tbl>
    <w:p>
      <w:pPr>
        <w:spacing w:after="40"/>
      </w:pPr>
    </w:p>
    <w:p>
      <w:pPr>
        <w:pStyle w:val="Heading2"/>
        <w:keepNext/>
        <w:spacing w:after="100" w:before="240"/>
      </w:pPr>
      <w:r>
        <w:t xml:space="preserve">2.2 Las cualidades que importan en Turnify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38"/>
        <w:gridCol w:w="1600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importa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Integridad de datos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Una doble reserva es el problema que originó todo el proyecto (Vol. 01).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Facilidad de cambio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equipo es chico y el negocio todavía está descubriendo sus reglas (las X horas, el N).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Si Turnify no responde, el lavadero vuelve a WhatsApp; es molesto, pero no grave.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volumen es bajo: decenas de usuarios, no miles.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5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 lavadero no crece de 30 a 30.000 clientes en un año.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Baja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Una arquitectura se juzga contra los atributos que el negocio prioriza, no contra una lista ideal.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APLICAR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 escenario de disponibilidad</w:t>
            </w:r>
          </w:p>
          <w:p>
            <w:pPr>
              <w:spacing w:after="60" w:line="276"/>
            </w:pPr>
            <w:r>
              <w:t xml:space="preserve">Escribí un escenario de calidad completo para esta situación: el servicio de mensajería deja de responder durante una hora.</w:t>
            </w:r>
          </w:p>
        </w:tc>
      </w:tr>
    </w:tbl>
    <w:p>
      <w:pPr>
        <w:spacing w:after="4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Bass, L., Clements, P. y Kazman, R. — </w:t>
      </w:r>
      <w:r>
        <w:rPr>
          <w:i/>
          <w:iCs/>
          <w:color w:val="66747A"/>
          <w:sz w:val="17"/>
          <w:szCs w:val="17"/>
        </w:rPr>
        <w:t xml:space="preserve">Software Architecture in Practice</w:t>
      </w:r>
      <w:r>
        <w:rPr>
          <w:color w:val="66747A"/>
          <w:sz w:val="17"/>
          <w:szCs w:val="17"/>
        </w:rPr>
        <w:t xml:space="preserve">, escenarios de calidad.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ISO/IEC 25010:2023 — Product quality model.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03</w:t>
      </w:r>
    </w:p>
    <w:p>
      <w:pPr>
        <w:pStyle w:val="Heading1"/>
        <w:spacing w:after="160"/>
      </w:pPr>
      <w:r>
        <w:t xml:space="preserve">Vistas y el modelo C4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Las decisiones solo sirven si se pueden explicar. Y cada persona necesita verlas desde un lugar distinto.</w:t>
      </w:r>
    </w:p>
    <w:p>
      <w:pPr>
        <w:pStyle w:val="Heading2"/>
        <w:keepNext/>
        <w:spacing w:after="100" w:before="240"/>
      </w:pPr>
      <w:r>
        <w:rPr>
          <w:color w:val="66747A"/>
        </w:rPr>
        <w:t xml:space="preserve">Refresco de conceptos</w:t>
      </w:r>
      <w:r>
        <w:t xml:space="preserve">  ·  Vistas</w:t>
      </w:r>
    </w:p>
    <w:p>
      <w:pPr>
        <w:spacing w:after="110" w:line="276"/>
      </w:pPr>
      <w:r>
        <w:t xml:space="preserve">En el Vol. 01 (cap. 09) vimos que cada stakeholder mira el sistema desde una perspectiva. ISO/IEC/IEEE 42010 formaliza esa idea: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Interés (concern)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Algo que le importa a un stakeholder: el costo, la seguridad, cuánto tarda una reserva.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Punto de vista (viewpoint)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Las convenciones para construir un tipo de vista: qué se muestra y con qué notación.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Vista (view)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Una representación del sistema desde un punto de vista, que responde a ciertos intereses.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Modelo C4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Una propuesta de Simon Brown para mostrar la arquitectura en cuatro niveles de zoom: contexto, contenedores, componentes y código.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40"/>
      </w:pPr>
      <w:r>
        <w:t xml:space="preserve">3.1 Nivel 1: el contexto</w:t>
      </w:r>
    </w:p>
    <w:p>
      <w:pPr>
        <w:spacing w:after="110" w:line="276"/>
      </w:pPr>
      <w:r>
        <w:t xml:space="preserve">Muestra el sistema como una caja, rodeado de las personas y los sistemas con los que interactúa. Es el diagrama para el dueño del lavadero.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4476750" cy="3295650"/>
            <wp:effectExtent t="0" r="0" b="0" l="0"/>
            <wp:docPr id="1" name="k1_contexto.png" descr="Figura 3.1 — Diagrama de contexto de Turnify (C4, nivel 1)." title="Figura 3.1 — Diagrama de contexto de Turnify (C4, nivel 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747A"/>
          <w:sz w:val="18"/>
          <w:szCs w:val="18"/>
        </w:rPr>
        <w:t xml:space="preserve">Figura 3.1 — Diagrama de contexto de Turnify (C4, nivel 1).</w:t>
      </w:r>
    </w:p>
    <w:p>
      <w:pPr>
        <w:pStyle w:val="Heading2"/>
        <w:keepNext/>
        <w:spacing w:after="100" w:before="240"/>
      </w:pPr>
      <w:r>
        <w:t xml:space="preserve">3.2 Nivel 2: los contenedores</w:t>
      </w:r>
    </w:p>
    <w:p>
      <w:pPr>
        <w:spacing w:after="110" w:line="276"/>
      </w:pPr>
      <w:r>
        <w:t xml:space="preserve">Abre la caja de Turnify y muestra sus partes ejecutables: aplicaciones, procesos y bases de datos. Es el diagrama para el equipo técnico.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3810000" cy="4143375"/>
            <wp:effectExtent t="0" r="0" b="0" l="0"/>
            <wp:docPr id="1" name="k2_contenedores.png" descr="Figura 3.2 — Contenedores de Turnify (C4, nivel 2)." title="Figura 3.2 — Contenedores de Turnify (C4, nivel 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747A"/>
          <w:sz w:val="18"/>
          <w:szCs w:val="18"/>
        </w:rPr>
        <w:t xml:space="preserve">Figura 3.2 — Contenedores de Turnify (C4, nivel 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3A48" w:sz="24"/>
              <w:bottom w:val="none" w:color="FFFFFF" w:sz="0"/>
              <w:right w:val="none" w:color="FFFFFF" w:sz="0"/>
            </w:tcBorders>
            <w:shd w:fill="FCEEEF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03A48"/>
                <w:spacing w:val="30"/>
                <w:sz w:val="16"/>
                <w:szCs w:val="16"/>
              </w:rPr>
              <w:t xml:space="preserve">ATENCIÓN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En C4, “contenedor” no significa contenedor de Docker.</w:t>
            </w:r>
          </w:p>
          <w:p>
            <w:pPr>
              <w:spacing w:after="60" w:line="276"/>
            </w:pPr>
            <w:r>
              <w:t xml:space="preserve">Es cualquier cosa que se ejecuta o guarda datos por separado: una aplicación web, una API, un proceso, una base.</w:t>
            </w:r>
          </w:p>
        </w:tc>
      </w:tr>
    </w:tbl>
    <w:p>
      <w:pPr>
        <w:spacing w:after="40"/>
      </w:pPr>
    </w:p>
    <w:p>
      <w:pPr>
        <w:spacing w:after="110" w:line="276"/>
      </w:pPr>
      <w:r>
        <w:t xml:space="preserve">Los niveles 3 (componentes) y 4 (código) se usan solo cuando hacen falta. El capítulo 05 muestra algo parecido a un nivel 3 para la API.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 buen diagrama de arquitectura tiene un público y una pregunta, igual que cualquier modelo del Vol. 04.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APLICAR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¿Qué diagrama para quién?</w:t>
            </w:r>
          </w:p>
          <w:p>
            <w:pPr>
              <w:spacing w:after="60" w:line="276"/>
            </w:pPr>
            <w:r>
              <w:t xml:space="preserve">¿Qué diagrama le mostrarías a cada uno? El dueño, que quiere saber si puede cobrar seña; un desarrollador nuevo; alguien de seguridad que revisa por dónde entran los datos.</w:t>
            </w:r>
          </w:p>
        </w:tc>
      </w:tr>
    </w:tbl>
    <w:p>
      <w:pPr>
        <w:spacing w:after="4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ISO/IEC/IEEE 42010:2022.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Brown, S. — </w:t>
      </w:r>
      <w:commentRangeStart w:id="3"/>
      <w:r>
        <w:rPr>
          <w:color w:val="66747A"/>
          <w:sz w:val="17"/>
          <w:szCs w:val="17"/>
        </w:rPr>
        <w:t xml:space="preserve">The C4 model for visualising software architecture</w:t>
      </w:r>
      <w:commentRangeEnd w:id="3"/>
      <w:r>
        <w:commentReference w:id="3"/>
      </w:r>
      <w:r>
        <w:rPr>
          <w:color w:val="66747A"/>
          <w:sz w:val="17"/>
          <w:szCs w:val="17"/>
        </w:rPr>
        <w:t xml:space="preserve">, c4model.com.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04</w:t>
      </w:r>
    </w:p>
    <w:p>
      <w:pPr>
        <w:pStyle w:val="Heading1"/>
        <w:spacing w:after="160"/>
      </w:pPr>
      <w:r>
        <w:t xml:space="preserve">Estilos arquitectónicos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La figura 3.2 dice “monolito modular”. Es una elección, y hay otras.</w:t>
      </w:r>
    </w:p>
    <w:p>
      <w:pPr>
        <w:pStyle w:val="Heading2"/>
        <w:keepNext/>
        <w:spacing w:after="100" w:before="240"/>
      </w:pPr>
      <w:r>
        <w:rPr>
          <w:color w:val="66747A"/>
        </w:rPr>
        <w:t xml:space="preserve">Refresco de conceptos</w:t>
      </w:r>
      <w:r>
        <w:t xml:space="preserve">  ·  Estilos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Monolito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sistema se construye y despliega como una sola unidad. Simple de desarrollar, probar y operar; puede volverse difícil de cambiar si nadie cuida sus límites internos.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Monolito modular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Una sola unidad de despliegue, pero dividida en módulos con límites claros y dependencias controladas (cap. 06).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Microservicios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Servicios pequeños, desplegables por separado, cada uno con sus propios datos, que se comunican por la red.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Monolito distribuido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peor de los dos mundos: servicios separados que igual tienen que desplegarse juntos porque dependen fuertemente entre sí.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Ley de Conway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Las organizaciones diseñan sistemas que copian su estructura de comunicación (Conway, 1968).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40"/>
      </w:pPr>
      <w:r>
        <w:t xml:space="preserve">4.1 El compromiso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38"/>
      </w:tblGrid>
      <w:tr>
        <w:trPr>
          <w:cantSplit/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Cualidad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Monolito modular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Microservicios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Simplicidad de operación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Alta: un despliegue, una base.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Baja: muchos despliegues, red, monitoreo distribuido.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Consistencia de datos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Transacciones locales (Vol. 05, cap. 09).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Consistencia eventual entre servicios.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Despliegue independiente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No: se despliega todo junto.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Sí: cada servicio por separado.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Escalar partes por separado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No.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Sí.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Equipos independientes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Difícil con muchos equipos.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Pensado para eso.</w:t>
            </w:r>
          </w:p>
        </w:tc>
      </w:tr>
    </w:tbl>
    <w:p>
      <w:pPr>
        <w:spacing w:after="160"/>
      </w:pPr>
    </w:p>
    <w:p>
      <w:pPr>
        <w:spacing w:after="110" w:line="276"/>
      </w:pPr>
      <w:r>
        <w:t xml:space="preserve">Las ventajas de los microservicios aparecen cuando hay muchos equipos, partes con cargas muy distintas o necesidad de desplegar por separado. </w:t>
      </w:r>
      <w:commentRangeStart w:id="4"/>
      <w:r>
        <w:t xml:space="preserve">Martin Fowler</w:t>
      </w:r>
      <w:commentRangeEnd w:id="4"/>
      <w:r>
        <w:commentReference w:id="4"/>
      </w:r>
      <w:r>
        <w:t xml:space="preserve"> sugiere empezar por un monolito y separar servicios solo cuando los límites están claros y la necesidad es real.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6E00" w:sz="24"/>
              <w:bottom w:val="none" w:color="FFFFFF" w:sz="0"/>
              <w:right w:val="none" w:color="FFFFFF" w:sz="0"/>
            </w:tcBorders>
            <w:shd w:fill="FFF5E3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86E00"/>
                <w:spacing w:val="30"/>
                <w:sz w:val="16"/>
                <w:szCs w:val="16"/>
              </w:rPr>
              <w:t xml:space="preserve">EL CASO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¿Y Turnify?</w:t>
            </w:r>
          </w:p>
          <w:p>
            <w:pPr>
              <w:spacing w:after="60" w:line="276"/>
            </w:pPr>
            <w:r>
              <w:t xml:space="preserve">Un equipo chico, carga baja, reglas todavía en descubrimiento y una regla central (la no superposición) que depende de una transacción en una sola base. Todos los atributos priorizados en el cap. 02 apuntan a un monolito modular.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Elegí el estilo por los atributos que el negocio necesita, no por el que está de moda.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ANALIZAR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¿Cuándo separar?</w:t>
            </w:r>
          </w:p>
          <w:p>
            <w:pPr>
              <w:spacing w:after="60" w:line="276"/>
            </w:pPr>
            <w:r>
              <w:t xml:space="preserve">Imaginá que Turnify se vende a 200 lavaderos. ¿Qué módulo sería el primer candidato para convertirse en un servicio aparte? ¿Qué señal te lo indicaría?</w:t>
            </w:r>
          </w:p>
        </w:tc>
      </w:tr>
    </w:tbl>
    <w:p>
      <w:pPr>
        <w:spacing w:after="4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Richards, M. y Ford, N. — </w:t>
      </w:r>
      <w:commentRangeStart w:id="5"/>
      <w:r>
        <w:rPr>
          <w:i/>
          <w:iCs/>
          <w:color w:val="66747A"/>
          <w:sz w:val="17"/>
          <w:szCs w:val="17"/>
        </w:rPr>
        <w:t xml:space="preserve">Fundamentals of Software Architecture</w:t>
      </w:r>
      <w:commentRangeEnd w:id="5"/>
      <w:r>
        <w:commentReference w:id="5"/>
      </w:r>
      <w:r>
        <w:rPr>
          <w:color w:val="66747A"/>
          <w:sz w:val="17"/>
          <w:szCs w:val="17"/>
        </w:rPr>
        <w:t xml:space="preserve">, estilos.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Lewis, J. y Fowler, M. (2014). “Microservices”, martinfowler.com.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Conway, M. E. (1968). “How Do Committees Invent?”.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05</w:t>
      </w:r>
    </w:p>
    <w:p>
      <w:pPr>
        <w:pStyle w:val="Heading1"/>
        <w:spacing w:after="160"/>
      </w:pPr>
      <w:r>
        <w:t xml:space="preserve">Capas, puertos y adaptadores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Dentro de la API, ¿dónde vive la regla “no confirmar un horario ocupado”? La respuesta organiza todo el código.</w:t>
      </w:r>
    </w:p>
    <w:p>
      <w:pPr>
        <w:pStyle w:val="Heading2"/>
        <w:keepNext/>
        <w:spacing w:after="100" w:before="240"/>
      </w:pPr>
      <w:r>
        <w:rPr>
          <w:color w:val="66747A"/>
        </w:rPr>
        <w:t xml:space="preserve">Refresco de conceptos</w:t>
      </w:r>
      <w:r>
        <w:t xml:space="preserve">  ·  Organizar el interior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Arquitectura en capas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código se divide en capas (presentación, aplicación, dominio, infraestructura) y cada una solo depende de las de abajo.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Puertos y adaptadores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También llamada hexagonal (Alistair Cockburn). El núcleo define interfaces (puertos) para lo que necesita del exterior; los adaptadores las implementan con una tecnología concreta.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Regla de dependencia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Las dependencias del código apuntan hacia el núcleo: el dominio no conoce la base de datos ni HTTP (Robert C. Martin, Clean Architecture).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Caso de uso (aplicación)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Orquesta una operación: recibe la intención, usa el dominio y los puertos, y devuelve un resultado. Es el CU-01 del Vol. 03 hecho código.</w:t>
            </w:r>
          </w:p>
        </w:tc>
      </w:tr>
    </w:tbl>
    <w:p>
      <w:pPr>
        <w:spacing w:after="160"/>
      </w:pPr>
    </w:p>
    <w:p>
      <w:pPr>
        <w:keepNext/>
        <w:spacing w:after="40" w:before="40"/>
        <w:jc w:val="center"/>
      </w:pPr>
      <w:r>
        <w:drawing>
          <wp:inline distT="0" distB="0" distL="0" distR="0">
            <wp:extent cx="3143250" cy="4267200"/>
            <wp:effectExtent t="0" r="0" b="0" l="0"/>
            <wp:docPr id="1" name="k3_capas.png" descr="Figura 5.1 — Puertos y adaptadores en la API de Turnify." title="Figura 5.1 — Puertos y adaptadores en la API de Turnif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747A"/>
          <w:sz w:val="18"/>
          <w:szCs w:val="18"/>
        </w:rPr>
        <w:t xml:space="preserve">Figura 5.1 — Puertos y adaptadores en la API de Turnify.</w:t>
      </w:r>
    </w:p>
    <w:p>
      <w:pPr>
        <w:spacing w:after="110" w:line="276"/>
      </w:pPr>
      <w:r>
        <w:t xml:space="preserve">El caso de uso ReservarTurno no sabe si los turnos se guardan en PostgreSQL ni si los avisos salen por una bandeja de salida: habla con dos puertos. Eso permite probar la lógica de reserva sin base de datos y cambiar la tecnología sin tocar las reglas.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6E00" w:sz="24"/>
              <w:bottom w:val="none" w:color="FFFFFF" w:sz="0"/>
              <w:right w:val="none" w:color="FFFFFF" w:sz="0"/>
            </w:tcBorders>
            <w:shd w:fill="FFF5E3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86E00"/>
                <w:spacing w:val="30"/>
                <w:sz w:val="16"/>
                <w:szCs w:val="16"/>
              </w:rPr>
              <w:t xml:space="preserve">EL CASO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¿Dónde vive la regla de no superposición?</w:t>
            </w:r>
          </w:p>
          <w:p>
            <w:pPr>
              <w:spacing w:after="60" w:line="276"/>
            </w:pPr>
            <w:r>
              <w:t xml:space="preserve">En dos lugares, a propósito. El dominio la conoce y la verifica para dar un buen mensaje (CA-01.2). La base la garantiza con la restricción de exclusión, porque es la única que ve las transacciones concurrentes (Vol. 05, cap. 09). Es una defensa en profundidad, no una duplicación accidental.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3A48" w:sz="24"/>
              <w:bottom w:val="none" w:color="FFFFFF" w:sz="0"/>
              <w:right w:val="none" w:color="FFFFFF" w:sz="0"/>
            </w:tcBorders>
            <w:shd w:fill="FCEEEF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03A48"/>
                <w:spacing w:val="30"/>
                <w:sz w:val="16"/>
                <w:szCs w:val="16"/>
              </w:rPr>
              <w:t xml:space="preserve">ATENCIÓN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Las capas no son gratis.</w:t>
            </w:r>
          </w:p>
          <w:p>
            <w:pPr>
              <w:spacing w:after="60" w:line="276"/>
            </w:pPr>
            <w:r>
              <w:t xml:space="preserve">Para un CRUD simple (el alta de un empleado), atravesar cuatro capas puede ser burocracia. Aplicá la separación donde hay reglas que proteger.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Las reglas de negocio no deberían depender de la base de datos ni del framework: son lo que menos debería cambiar.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APLICAR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 adaptador nuevo</w:t>
            </w:r>
          </w:p>
          <w:p>
            <w:pPr>
              <w:spacing w:after="60" w:line="276"/>
            </w:pPr>
            <w:r>
              <w:t xml:space="preserve">Turnify empieza a aceptar reservas por WhatsApp con un bot. ¿Qué parte de la figura 5.1 cambia y qué parte queda igual?</w:t>
            </w:r>
          </w:p>
        </w:tc>
      </w:tr>
    </w:tbl>
    <w:p>
      <w:pPr>
        <w:spacing w:after="4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Cockburn, A. — </w:t>
      </w:r>
      <w:commentRangeStart w:id="6"/>
      <w:r>
        <w:rPr>
          <w:color w:val="66747A"/>
          <w:sz w:val="17"/>
          <w:szCs w:val="17"/>
        </w:rPr>
        <w:t xml:space="preserve">“Hexagonal Architecture”</w:t>
      </w:r>
      <w:commentRangeEnd w:id="6"/>
      <w:r>
        <w:commentReference w:id="6"/>
      </w:r>
      <w:r>
        <w:rPr>
          <w:color w:val="66747A"/>
          <w:sz w:val="17"/>
          <w:szCs w:val="17"/>
        </w:rPr>
        <w:t xml:space="preserve">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Martin, R. C. (2017). </w:t>
      </w:r>
      <w:r>
        <w:rPr>
          <w:i/>
          <w:iCs/>
          <w:color w:val="66747A"/>
          <w:sz w:val="17"/>
          <w:szCs w:val="17"/>
        </w:rPr>
        <w:t xml:space="preserve">Clean Architecture</w:t>
      </w:r>
      <w:r>
        <w:rPr>
          <w:color w:val="66747A"/>
          <w:sz w:val="17"/>
          <w:szCs w:val="17"/>
        </w:rPr>
        <w:t xml:space="preserve">. Prentice Hall.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06</w:t>
      </w:r>
    </w:p>
    <w:p>
      <w:pPr>
        <w:pStyle w:val="Heading1"/>
        <w:spacing w:after="160"/>
      </w:pPr>
      <w:r>
        <w:t xml:space="preserve">Modularidad: cohesión y acoplamiento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Un monolito modular solo es modular si sus módulos están bien cortados. ¿Por dónde se corta?</w:t>
      </w:r>
    </w:p>
    <w:p>
      <w:pPr>
        <w:pStyle w:val="Heading2"/>
        <w:keepNext/>
        <w:spacing w:after="100" w:before="240"/>
      </w:pPr>
      <w:r>
        <w:rPr>
          <w:color w:val="66747A"/>
        </w:rPr>
        <w:t xml:space="preserve">Refresco de conceptos</w:t>
      </w:r>
      <w:r>
        <w:t xml:space="preserve">  ·  Módulos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Módulo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Una parte del sistema con una responsabilidad y una interfaz, que esconde sus detalles al resto.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Ocultamiento de información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Cada módulo esconde las decisiones que probablemente cambien (Parnas, 1972). Es el criterio clásico para cortar.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Cohesión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Qué tan relacionadas están las cosas dentro de un módulo. Se busca alta.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Acoplamiento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Cuánto depende un módulo de los detalles de otro. Se busca bajo.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Contexto delimitado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límite de un modelo con su propio lenguaje (Vol. 05, cap. 02). Es un buen candidato a límite de módulo.</w:t>
            </w:r>
          </w:p>
        </w:tc>
      </w:tr>
    </w:tbl>
    <w:p>
      <w:pPr>
        <w:spacing w:after="160"/>
      </w:pPr>
    </w:p>
    <w:p>
      <w:pPr>
        <w:keepNext/>
        <w:spacing w:after="40" w:before="40"/>
        <w:jc w:val="center"/>
      </w:pPr>
      <w:r>
        <w:drawing>
          <wp:inline distT="0" distB="0" distL="0" distR="0">
            <wp:extent cx="5334000" cy="2324100"/>
            <wp:effectExtent t="0" r="0" b="0" l="0"/>
            <wp:docPr id="1" name="k4_modulos.png" descr="Figura 6.1 — Módulos de Turnify y sus dependencias." title="Figura 6.1 — Módulos de Turnify y sus dependenci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747A"/>
          <w:sz w:val="18"/>
          <w:szCs w:val="18"/>
        </w:rPr>
        <w:t xml:space="preserve">Figura 6.1 — Módulos de Turnify y sus dependencias.</w:t>
      </w:r>
    </w:p>
    <w:p>
      <w:pPr>
        <w:spacing w:after="110" w:line="276"/>
      </w:pPr>
      <w:r>
        <w:t xml:space="preserve">Cada módulo agrupa tablas del esquema del Vol. 05 que cambian juntas. Reservas es el núcleo: depende de Catálogo (duraciones y recursos habilitados), de Clientes y de Personal, pero ninguno de ellos depende de Reservas. Notificaciones no recibe llamadas: escucha eventos (la línea punteada), así que Reservas no sabe quién se entera de una cancelación.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3A48" w:sz="24"/>
              <w:bottom w:val="none" w:color="FFFFFF" w:sz="0"/>
              <w:right w:val="none" w:color="FFFFFF" w:sz="0"/>
            </w:tcBorders>
            <w:shd w:fill="FCEEEF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03A48"/>
                <w:spacing w:val="30"/>
                <w:sz w:val="16"/>
                <w:szCs w:val="16"/>
              </w:rPr>
              <w:t xml:space="preserve">ATENCIÓN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 módulo no debería leer las tablas de otro directamente.</w:t>
            </w:r>
          </w:p>
          <w:p>
            <w:pPr>
              <w:spacing w:after="60" w:line="276"/>
            </w:pPr>
            <w:r>
              <w:t xml:space="preserve">Si Reservas consulta la tabla servicio con su propio SQL, cualquier cambio en Catálogo puede romperla. Lo pide a través de la interfaz de Catálogo.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Cortá donde cambian las cosas: lo que cambia junto va junto.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ANALIZAR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 módulo nuevo</w:t>
            </w:r>
          </w:p>
          <w:p>
            <w:pPr>
              <w:spacing w:after="60" w:line="276"/>
            </w:pPr>
            <w:r>
              <w:t xml:space="preserve">Si en una versión futura se agrega el cobro de seña, ¿es un módulo nuevo o parte de Reservas? ¿De quién dependería y quién dependería de él?</w:t>
            </w:r>
          </w:p>
        </w:tc>
      </w:tr>
    </w:tbl>
    <w:p>
      <w:pPr>
        <w:spacing w:after="4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Parnas, D. L. (1972). “On the Criteria To Be Used in Decomposing Systems into Modules”. </w:t>
      </w:r>
      <w:r>
        <w:rPr>
          <w:i/>
          <w:iCs/>
          <w:color w:val="66747A"/>
          <w:sz w:val="17"/>
          <w:szCs w:val="17"/>
        </w:rPr>
        <w:t xml:space="preserve">Communications of the ACM</w:t>
      </w:r>
      <w:r>
        <w:rPr>
          <w:color w:val="66747A"/>
          <w:sz w:val="17"/>
          <w:szCs w:val="17"/>
        </w:rPr>
        <w:t xml:space="preserve">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Evans, E. (2003). </w:t>
      </w:r>
      <w:r>
        <w:rPr>
          <w:i/>
          <w:iCs/>
          <w:color w:val="66747A"/>
          <w:sz w:val="17"/>
          <w:szCs w:val="17"/>
        </w:rPr>
        <w:t xml:space="preserve">Domain-Driven Design</w:t>
      </w:r>
      <w:r>
        <w:rPr>
          <w:color w:val="66747A"/>
          <w:sz w:val="17"/>
          <w:szCs w:val="17"/>
        </w:rPr>
        <w:t xml:space="preserve">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07</w:t>
      </w:r>
    </w:p>
    <w:p>
      <w:pPr>
        <w:pStyle w:val="Heading1"/>
        <w:spacing w:after="160"/>
      </w:pPr>
      <w:r>
        <w:t xml:space="preserve">Los datos en la arquitectura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Los módulos separan el código. ¿También hay que separar los datos?</w:t>
      </w:r>
    </w:p>
    <w:p>
      <w:pPr>
        <w:pStyle w:val="Heading2"/>
        <w:keepNext/>
        <w:spacing w:after="100" w:before="240"/>
      </w:pPr>
      <w:r>
        <w:rPr>
          <w:color w:val="66747A"/>
        </w:rPr>
        <w:t xml:space="preserve">Refresco de conceptos</w:t>
      </w:r>
      <w:r>
        <w:t xml:space="preserve">  ·  Datos distribuidos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Base compartida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Varios módulos o servicios usan la misma base. Permite transacciones que abarcan a todos, pero acopla sus esquemas.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Base por servicio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Cada servicio es dueño de sus datos y nadie más los toca. Da independencia, pero pierde las transacciones entre servicios.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Consistencia fuerte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Después de una escritura, cualquier lectura ve el valor nuevo.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Consistencia eventual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Las copias terminan coincidiendo, pero durante un tiempo pueden diferir.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Saga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Una secuencia de transacciones locales, cada una con una acción que la compensa si algo falla más adelante.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6E00" w:sz="24"/>
              <w:bottom w:val="none" w:color="FFFFFF" w:sz="0"/>
              <w:right w:val="none" w:color="FFFFFF" w:sz="0"/>
            </w:tcBorders>
            <w:shd w:fill="FFF5E3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86E00"/>
                <w:spacing w:val="30"/>
                <w:sz w:val="16"/>
                <w:szCs w:val="16"/>
              </w:rPr>
              <w:t xml:space="preserve">EL CASO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¿Qué pasaría si Reservas y Catálogo tuvieran bases separadas?</w:t>
            </w:r>
          </w:p>
          <w:p>
            <w:pPr>
              <w:spacing w:after="60" w:line="276"/>
            </w:pPr>
            <w:r>
              <w:t xml:space="preserve">La clave foránea compuesta hacia servicio_recurso (Vol. 05, cap. 05) ya no existiría: Reservas tendría que consultar a Catálogo y confiar en la respuesta. Y si alguien deshabilita un recurso mientras se reserva, no hay transacción que proteja las dos cosas a la vez.</w:t>
            </w:r>
          </w:p>
        </w:tc>
      </w:tr>
    </w:tbl>
    <w:p>
      <w:pPr>
        <w:spacing w:after="40"/>
      </w:pPr>
    </w:p>
    <w:p>
      <w:pPr>
        <w:spacing w:after="110" w:line="276"/>
      </w:pPr>
      <w:r>
        <w:t xml:space="preserve">Por eso la decisión del cap. 04 y la del Vol. 05 están atadas: la regla más importante de Turnify se apoya en una transacción local sobre una base. Separar esa base es posible, pero obliga a reemplazar una restricción de la base por una coordinación entre servicios, que es más difícil de hacer bien.</w:t>
      </w:r>
    </w:p>
    <w:p>
      <w:pPr>
        <w:spacing w:after="110" w:line="276"/>
      </w:pPr>
      <w:r>
        <w:t xml:space="preserve">Una solución intermedia, compatible con el monolito modular, es una sola base con esquemas separados por módulo y la regla de que cada módulo solo escribe en su esquema.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Separar datos es fácil; separar las garantías que daban juntos, no.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ANALIZAR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Una lectura desactualizada</w:t>
            </w:r>
          </w:p>
          <w:p>
            <w:pPr>
              <w:spacing w:after="60" w:line="276"/>
            </w:pPr>
            <w:r>
              <w:t xml:space="preserve">El panel muestra la agenda a partir de una copia que se actualiza cada minuto. ¿Qué problema puede ver el encargado? ¿Para qué pantallas es aceptable y para cuáles no?</w:t>
            </w:r>
          </w:p>
        </w:tc>
      </w:tr>
    </w:tbl>
    <w:p>
      <w:pPr>
        <w:spacing w:after="4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Kleppmann, M. — </w:t>
      </w:r>
      <w:commentRangeStart w:id="7"/>
      <w:r>
        <w:rPr>
          <w:i/>
          <w:iCs/>
          <w:color w:val="66747A"/>
          <w:sz w:val="17"/>
          <w:szCs w:val="17"/>
        </w:rPr>
        <w:t xml:space="preserve">Designing Data-Intensive Applications</w:t>
      </w:r>
      <w:commentRangeEnd w:id="7"/>
      <w:r>
        <w:commentReference w:id="7"/>
      </w:r>
      <w:r>
        <w:rPr>
          <w:color w:val="66747A"/>
          <w:sz w:val="17"/>
          <w:szCs w:val="17"/>
        </w:rPr>
        <w:t xml:space="preserve">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Richardson, C. — “Saga”, microservices.io.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08</w:t>
      </w:r>
    </w:p>
    <w:p>
      <w:pPr>
        <w:pStyle w:val="Heading1"/>
        <w:spacing w:after="160"/>
      </w:pPr>
      <w:r>
        <w:t xml:space="preserve">Comunicación entre componentes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El Vol. 06 mostró las llamadas síncronas y los webhooks. Acá los miramos como decisión de arquitectura.</w:t>
      </w:r>
    </w:p>
    <w:p>
      <w:pPr>
        <w:pStyle w:val="Heading2"/>
        <w:keepNext/>
        <w:spacing w:after="100" w:before="240"/>
      </w:pPr>
      <w:r>
        <w:rPr>
          <w:color w:val="66747A"/>
        </w:rPr>
        <w:t xml:space="preserve">Refresco de conceptos</w:t>
      </w:r>
      <w:r>
        <w:t xml:space="preserve">  ·  Síncrono y asíncrono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Síncrono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que llama espera la respuesta (una llamada HTTP). Simple de razonar; acopla en el tiempo (Vol. 06, cap. 09).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Asíncrono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que envía no espera: deja un mensaje y sigue. Desacopla, pero el resultado llega después.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Cola de mensajes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 intermediario que guarda mensajes hasta que un consumidor los procesa. Cada mensaje lo procesa un solo consumidor.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Publicar y suscribir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 evento se publica una vez y le llega a todos los suscriptores interesados.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Bandeja de salida (outbox)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Guardar el mensaje en la misma transacción que el cambio de datos y enviarlo después (Vol. 06, cap. 11).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86E00" w:sz="24"/>
              <w:bottom w:val="none" w:color="FFFFFF" w:sz="0"/>
              <w:right w:val="none" w:color="FFFFFF" w:sz="0"/>
            </w:tcBorders>
            <w:shd w:fill="FFF5E3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86E00"/>
                <w:spacing w:val="30"/>
                <w:sz w:val="16"/>
                <w:szCs w:val="16"/>
              </w:rPr>
              <w:t xml:space="preserve">EL CASO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Los avisos de Turnify</w:t>
            </w:r>
          </w:p>
          <w:p>
            <w:pPr>
              <w:spacing w:after="60" w:line="276"/>
            </w:pPr>
            <w:r>
              <w:t xml:space="preserve">En la figura 3.2, la API no llama a la mensajería: guarda el evento en la base, en la misma transacción que la reserva o la cancelación. El procesador de avisos lo lee y lo envía. Si la mensajería se cae, las reservas siguen funcionando y los avisos salen cuando vuelve.</w:t>
            </w:r>
          </w:p>
        </w:tc>
      </w:tr>
    </w:tbl>
    <w:p>
      <w:pPr>
        <w:spacing w:after="40"/>
      </w:pPr>
    </w:p>
    <w:p>
      <w:pPr>
        <w:spacing w:after="110" w:line="276"/>
      </w:pPr>
      <w:r>
        <w:t xml:space="preserve">Turnify no necesita todavía un intermediario de mensajes dedicado: con su volumen, una tabla en PostgreSQL y un proceso que la lee alcanzan. Si mañana hubiera muchos consumidores de eventos, la bandeja de salida se podría publicar en un intermediario sin cambiar el módulo de Reservas.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Usá comunicación síncrona cuando el negocio necesita la respuesta ahora; en los demás casos, avisá.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APLICAR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¿Síncrono o asíncrono?</w:t>
            </w:r>
          </w:p>
          <w:p>
            <w:pPr>
              <w:spacing w:after="60" w:line="276"/>
            </w:pPr>
            <w:r>
              <w:t xml:space="preserve">Decidí y justificá: verificar la disponibilidad; avisar al encargado de una reserva pendiente; cobrar la seña antes de confirmar; actualizar el calendario externo.</w:t>
            </w:r>
          </w:p>
        </w:tc>
      </w:tr>
    </w:tbl>
    <w:p>
      <w:pPr>
        <w:spacing w:after="4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Hohpe, G. y Woolf, B. — </w:t>
      </w:r>
      <w:commentRangeStart w:id="8"/>
      <w:r>
        <w:rPr>
          <w:i/>
          <w:iCs/>
          <w:color w:val="66747A"/>
          <w:sz w:val="17"/>
          <w:szCs w:val="17"/>
        </w:rPr>
        <w:t xml:space="preserve">Enterprise Integration Patterns</w:t>
      </w:r>
      <w:commentRangeEnd w:id="8"/>
      <w:r>
        <w:commentReference w:id="8"/>
      </w:r>
      <w:r>
        <w:rPr>
          <w:color w:val="66747A"/>
          <w:sz w:val="17"/>
          <w:szCs w:val="17"/>
        </w:rPr>
        <w:t xml:space="preserve">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Richardson, C. — “Transactional Outbox”, microservices.io.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09</w:t>
      </w:r>
    </w:p>
    <w:p>
      <w:pPr>
        <w:pStyle w:val="Heading1"/>
        <w:spacing w:after="160"/>
      </w:pPr>
      <w:r>
        <w:t xml:space="preserve">Despliegue y escalabilidad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Hasta ahora, Turnify era un conjunto de decisiones. Para funcionar, tiene que correr en algún lado.</w:t>
      </w:r>
    </w:p>
    <w:p>
      <w:pPr>
        <w:pStyle w:val="Heading2"/>
        <w:keepNext/>
        <w:spacing w:after="100" w:before="240"/>
      </w:pPr>
      <w:r>
        <w:rPr>
          <w:color w:val="66747A"/>
        </w:rPr>
        <w:t xml:space="preserve">Refresco de conceptos</w:t>
      </w:r>
      <w:r>
        <w:t xml:space="preserve">  ·  Infraestructura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Entornos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Copias separadas del sistema: desarrollo, pruebas y producción. Lo que se prueba en uno debería comportarse igual en otro.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Plataforma como servicio (PaaS)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 proveedor ejecuta la aplicación y se ocupa de los servidores; el equipo solo despliega el código.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Escalado vertical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Una máquina más grande.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Escalado horizontal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Más instancias iguales detrás de un balanceador. Requiere que la aplicación no guarde estado entre solicitudes.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Configuración externa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Lo que cambia entre entornos (credenciales, direcciones) se guarda fuera del código, en variables de entorno (The Twelve-Factor App).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Integración y despliegue continuos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Cada cambio se compila, se prueba y se despliega de forma automática.</w:t>
            </w:r>
          </w:p>
        </w:tc>
      </w:tr>
    </w:tbl>
    <w:p>
      <w:pPr>
        <w:spacing w:after="160"/>
      </w:pPr>
    </w:p>
    <w:p>
      <w:pPr>
        <w:keepNext/>
        <w:spacing w:after="40" w:before="40"/>
        <w:jc w:val="center"/>
      </w:pPr>
      <w:r>
        <w:drawing>
          <wp:inline distT="0" distB="0" distL="0" distR="0">
            <wp:extent cx="3810000" cy="3600450"/>
            <wp:effectExtent t="0" r="0" b="0" l="0"/>
            <wp:docPr id="1" name="k5_despliegue.png" descr="Figura 9.1 — Despliegue de Turnify." title="Figura 9.1 — Despliegue de Turnif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6747A"/>
          <w:sz w:val="18"/>
          <w:szCs w:val="18"/>
        </w:rPr>
        <w:t xml:space="preserve">Figura 9.1 — Despliegue de Turnify.</w:t>
      </w:r>
    </w:p>
    <w:p>
      <w:pPr>
        <w:spacing w:after="110" w:line="276"/>
      </w:pPr>
      <w:r>
        <w:t xml:space="preserve">Hay dos instancias de la API porque HTTP no guarda estado (Vol. 06, cap. 02): cualquier instancia puede atender cualquier solicitud, y si una se cae, la otra sigue. La base es un servicio gestionado, con copias de seguridad automáticas: para un equipo chico, operar su propia base es un riesgo que no hace falta correr.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3A48" w:sz="24"/>
              <w:bottom w:val="none" w:color="FFFFFF" w:sz="0"/>
              <w:right w:val="none" w:color="FFFFFF" w:sz="0"/>
            </w:tcBorders>
            <w:shd w:fill="FCEEEF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03A48"/>
                <w:spacing w:val="30"/>
                <w:sz w:val="16"/>
                <w:szCs w:val="16"/>
              </w:rPr>
              <w:t xml:space="preserve">ATENCIÓN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La restricción de exclusión funciona igual con dos instancias.</w:t>
            </w:r>
          </w:p>
          <w:p>
            <w:pPr>
              <w:spacing w:after="60" w:line="276"/>
            </w:pPr>
            <w:r>
              <w:t xml:space="preserve">Como las dos escriben en la misma base, la doble reserva sigue siendo imposible. Si cada instancia verificara la disponibilidad en memoria, no lo sería.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Una API sin estado es la condición para escalar agregando instancias.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ANALIZAR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El sábado a la mañana</w:t>
            </w:r>
          </w:p>
          <w:p>
            <w:pPr>
              <w:spacing w:after="60" w:line="276"/>
            </w:pPr>
            <w:r>
              <w:t xml:space="preserve">El dueño lanza una promoción y la carga se multiplica por diez los sábados. ¿Qué escala primero en la figura 9.1? ¿Qué parte podría convertirse en el cuello de botella?</w:t>
            </w:r>
          </w:p>
        </w:tc>
      </w:tr>
    </w:tbl>
    <w:p>
      <w:pPr>
        <w:spacing w:after="4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Wiggins, A. — </w:t>
      </w:r>
      <w:commentRangeStart w:id="9"/>
      <w:r>
        <w:rPr>
          <w:color w:val="66747A"/>
          <w:sz w:val="17"/>
          <w:szCs w:val="17"/>
        </w:rPr>
        <w:t xml:space="preserve">The Twelve-Factor App</w:t>
      </w:r>
      <w:commentRangeEnd w:id="9"/>
      <w:r>
        <w:commentReference w:id="9"/>
      </w:r>
      <w:r>
        <w:rPr>
          <w:color w:val="66747A"/>
          <w:sz w:val="17"/>
          <w:szCs w:val="17"/>
        </w:rPr>
        <w:t xml:space="preserve">, 12factor.net.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Bass, Clements y Kazman — despliegue y escalabilidad.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10</w:t>
      </w:r>
    </w:p>
    <w:p>
      <w:pPr>
        <w:pStyle w:val="Heading1"/>
        <w:spacing w:after="160"/>
      </w:pPr>
      <w:r>
        <w:t xml:space="preserve">Observabilidad y operación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Turnify ya está en producción. ¿Cómo sabemos si cumple el escenario del cap. 02?</w:t>
      </w:r>
    </w:p>
    <w:p>
      <w:pPr>
        <w:pStyle w:val="Heading2"/>
        <w:keepNext/>
        <w:spacing w:after="100" w:before="240"/>
      </w:pPr>
      <w:r>
        <w:rPr>
          <w:color w:val="66747A"/>
        </w:rPr>
        <w:t xml:space="preserve">Refresco de conceptos</w:t>
      </w:r>
      <w:r>
        <w:t xml:space="preserve">  ·  Observar un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Registros (logs)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Mensajes sobre lo que ocurrió, con fecha y contexto; mejor si son estructurados (JSON).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Métricas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Números agregados en el tiempo: solicitudes por minuto, errores, latencia.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Trazas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recorrido de una solicitud por todos los componentes, con cuánto tardó en cada uno.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SLI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Indicador de nivel de servicio: una medida concreta, como el porcentaje de reservas que responden en menos de 2 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SLO y presupuesto de error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SLO es el valor que el SLI tiene que alcanzar (95 %). El presupuesto de error es lo que permite fallar: un 99,5 % mensual admite unas 3,6 horas sin servicio al mes.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40"/>
      </w:pPr>
      <w:r>
        <w:t xml:space="preserve">10.1 Los SLO de Turnify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638"/>
      </w:tblGrid>
      <w:tr>
        <w:trPr>
          <w:cantSplit/>
          <w:tblHeader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SLI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SLO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 dónde sale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Consultas de disponibilidad que responden en 2 s o menos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95 % en la hora pico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TRN-NFR-001 (Vol. 02) y el escenario del cap. 02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Solicitudes a la API que no terminan en error 5xx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99,5 % mensual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La disponibilidad del Vol. 02 (cap. 05)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Avisos enviados dentro de los 5 minutos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99 %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procesador de avisos (cap. 08)</w:t>
            </w:r>
          </w:p>
        </w:tc>
      </w:tr>
    </w:tbl>
    <w:p>
      <w:pPr>
        <w:spacing w:after="160"/>
      </w:pPr>
    </w:p>
    <w:p>
      <w:pPr>
        <w:spacing w:after="110" w:line="276"/>
      </w:pPr>
      <w:r>
        <w:t xml:space="preserve">Cada SLO conecta la operación con un requisito. Si el presupuesto de error se agota, la prioridad pasa de las funciones nuevas a la estabilidad.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03A48" w:sz="24"/>
              <w:bottom w:val="none" w:color="FFFFFF" w:sz="0"/>
              <w:right w:val="none" w:color="FFFFFF" w:sz="0"/>
            </w:tcBorders>
            <w:shd w:fill="FCEEEF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B03A48"/>
                <w:spacing w:val="30"/>
                <w:sz w:val="16"/>
                <w:szCs w:val="16"/>
              </w:rPr>
              <w:t xml:space="preserve">ATENCIÓN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Alertá por síntomas, no por causas.</w:t>
            </w:r>
          </w:p>
          <w:p>
            <w:pPr>
              <w:spacing w:after="60" w:line="276"/>
            </w:pPr>
            <w:r>
              <w:t xml:space="preserve">“La CPU está al 80 %” puede no afectar a nadie; “las reservas tardan 5 segundos”, sí. Conviene alertar cuando un SLO está en riesgo.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Si no se puede medir, no se puede saber si la arquitectura cumple lo que prometía.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APLICAR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Una traza</w:t>
            </w:r>
          </w:p>
          <w:p>
            <w:pPr>
              <w:spacing w:after="60" w:line="276"/>
            </w:pPr>
            <w:r>
              <w:t xml:space="preserve">¿Qué pasos debería mostrar la traza de un POST /turnos, desde el balanceador hasta el aviso?</w:t>
            </w:r>
          </w:p>
        </w:tc>
      </w:tr>
    </w:tbl>
    <w:p>
      <w:pPr>
        <w:spacing w:after="4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Beyer, B., Jones, C., Petoff, J. y Murphy, N. R. (eds.) — </w:t>
      </w:r>
      <w:commentRangeStart w:id="10"/>
      <w:r>
        <w:rPr>
          <w:i/>
          <w:iCs/>
          <w:color w:val="66747A"/>
          <w:sz w:val="17"/>
          <w:szCs w:val="17"/>
        </w:rPr>
        <w:t xml:space="preserve">Site Reliability Engineering</w:t>
      </w:r>
      <w:commentRangeEnd w:id="10"/>
      <w:r>
        <w:commentReference w:id="10"/>
      </w:r>
      <w:r>
        <w:rPr>
          <w:color w:val="66747A"/>
          <w:sz w:val="17"/>
          <w:szCs w:val="17"/>
        </w:rPr>
        <w:t xml:space="preserve">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OpenTelemetry — documentación.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11</w:t>
      </w:r>
    </w:p>
    <w:p>
      <w:pPr>
        <w:pStyle w:val="Heading1"/>
        <w:spacing w:after="160"/>
      </w:pPr>
      <w:r>
        <w:t xml:space="preserve">Seguridad como propiedad del sistema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El Vol. 05 protegió los datos y el Vol. 06 protegió la API. La arquitectura mira cómo se protegen juntos.</w:t>
      </w:r>
    </w:p>
    <w:p>
      <w:pPr>
        <w:pStyle w:val="Heading2"/>
        <w:keepNext/>
        <w:spacing w:after="100" w:before="240"/>
      </w:pPr>
      <w:r>
        <w:rPr>
          <w:color w:val="66747A"/>
        </w:rPr>
        <w:t xml:space="preserve">Refresco de conceptos</w:t>
      </w:r>
      <w:r>
        <w:t xml:space="preserve">  ·  Seguridad arquitectónica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Frontera de confianza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punto donde los datos pasan de una zona a otra con distinto nivel de confianza, como del celular del cliente a la API.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Defensa en profundidad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Varias capas de control independientes, para que la falla de una no alcance.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Mínimo privilegio y secretos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Cada componente tiene solo los permisos que necesita (Vol. 05, cap. 11), y las credenciales no van en el código: se guardan en la configuración del entorno o en un servicio de secretos.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Modelado de amenazas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Analizar el diseño buscando qué podría salir mal. STRIDE es una guía de seis categorías: suplantación, manipulación, repudio, divulgación de información, denegación de servicio y elevación de privilegios.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40"/>
      </w:pPr>
      <w:r>
        <w:t xml:space="preserve">11.1 Las fronteras de Turnify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438"/>
      </w:tblGrid>
      <w:tr>
        <w:trPr>
          <w:cantSplit/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Frontera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Amenaza (STRIDE)</w:t>
            </w:r>
          </w:p>
        </w:tc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App → API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Suplantación: alguien usa el token de otro.</w:t>
            </w:r>
          </w:p>
        </w:tc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HTTPS, tokens con vencimiento (Vol. 06, cap. 06).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App → API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Divulgación: ver turnos ajenos.</w:t>
            </w:r>
          </w:p>
        </w:tc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Autorización por objeto (Vol. 06, cap. 06).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API → base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Manipulación: inyección SQL.</w:t>
            </w:r>
          </w:p>
        </w:tc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Consultas parametrizadas y rol sin DELETE (Vol. 05, cap. 11).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Turnify → calendario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Suplantación: un tercero envía avisos falsos.</w:t>
            </w:r>
          </w:p>
        </w:tc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Firma de los webhooks (Vol. 06, cap. 11).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Todo el sistema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Repudio: nadie sabe quién canceló.</w:t>
            </w:r>
          </w:p>
        </w:tc>
        <w:tc>
          <w:tcPr>
            <w:tcW w:type="dxa" w:w="34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Registro de quién y cuándo (Vol. 02, TRN-FR-004).</w:t>
            </w:r>
          </w:p>
        </w:tc>
      </w:tr>
    </w:tbl>
    <w:p>
      <w:pPr>
        <w:spacing w:after="160"/>
      </w:pPr>
    </w:p>
    <w:p>
      <w:pPr>
        <w:spacing w:after="110" w:line="276"/>
      </w:pPr>
      <w:r>
        <w:t xml:space="preserve">Casi todos los controles ya estaban en volúmenes anteriores. La arquitectura no los inventa: verifica que cubran todas las fronteras.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La seguridad de un sistema es la de su frontera más débil.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ANALIZAR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Una amenaza más</w:t>
            </w:r>
          </w:p>
          <w:p>
            <w:pPr>
              <w:spacing w:after="60" w:line="276"/>
            </w:pPr>
            <w:r>
              <w:t xml:space="preserve">Aplicá la categoría de denegación de servicio a Turnify. ¿Qué frontera es la más expuesta y qué control propondrías?</w:t>
            </w:r>
          </w:p>
        </w:tc>
      </w:tr>
    </w:tbl>
    <w:p>
      <w:pPr>
        <w:spacing w:after="4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Shostack, A. — </w:t>
      </w:r>
      <w:commentRangeStart w:id="11"/>
      <w:r>
        <w:rPr>
          <w:i/>
          <w:iCs/>
          <w:color w:val="66747A"/>
          <w:sz w:val="17"/>
          <w:szCs w:val="17"/>
        </w:rPr>
        <w:t xml:space="preserve">Threat Modeling: Designing for Security</w:t>
      </w:r>
      <w:commentRangeEnd w:id="11"/>
      <w:r>
        <w:commentReference w:id="11"/>
      </w:r>
      <w:r>
        <w:rPr>
          <w:color w:val="66747A"/>
          <w:sz w:val="17"/>
          <w:szCs w:val="17"/>
        </w:rPr>
        <w:t xml:space="preserve">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OWASP — Threat Modeling Cheat Sheet.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>CAPÍTULO 12</w:t>
      </w:r>
    </w:p>
    <w:p>
      <w:pPr>
        <w:pStyle w:val="Heading1"/>
        <w:spacing w:after="160"/>
      </w:pPr>
      <w:r>
        <w:t xml:space="preserve">Decisiones y evolución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Tomamos muchas decisiones en este volumen. Dentro de un año, alguien va a preguntar por qué. Hay que dejar la respuesta escrita.</w:t>
      </w:r>
    </w:p>
    <w:p>
      <w:pPr>
        <w:pStyle w:val="Heading2"/>
        <w:keepNext/>
        <w:spacing w:after="100" w:before="240"/>
      </w:pPr>
      <w:r>
        <w:rPr>
          <w:color w:val="66747A"/>
        </w:rPr>
        <w:t xml:space="preserve">Refresco de conceptos</w:t>
      </w:r>
      <w:r>
        <w:t xml:space="preserve">  ·  Registrar y evolucionar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Registro de decisión (ADR)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 documento corto que registra una decisión arquitectónica: su contexto, la decisión, su estado y sus consecuencias (Michael Nygard, 2011).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Estado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Propuesta, aceptada, reemplazada. Un ADR no se borra: si la decisión cambia, se escribe uno nuevo que lo reemplaza.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Deuda técnica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costo futuro de una decisión que conviene hoy. Como una deuda financiera, puede ser razonable si se toma a conciencia y se paga.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Función de aptitud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Una verificación automática de que la arquitectura sigue cumpliendo un atributo: una prueba de carga, una regla que impide que un módulo lea tablas de otro (Ford, Parsons y Kua).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40"/>
      </w:pPr>
      <w:r>
        <w:t xml:space="preserve">12.1 Dos decisiones de Turnify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6747A" w:sz="12"/>
              <w:bottom w:val="none" w:color="FFFFFF" w:sz="0"/>
              <w:right w:val="none" w:color="FFFFFF" w:sz="0"/>
            </w:tcBorders>
            <w:shd w:fill="F4F6F7" w:color="auto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ADR-001 · Monolito modular con una sola base PostgreSQL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Estado: aceptada (septiembre de 2026)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Contexto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Equipo chico, carga baja (N = 30 en la hora pico), reglas todavía en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descubrimiento. La regla de no superposición necesita una transacción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local (Vol. 05).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Decisión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Una API desplegable como unidad, dividida en los módulos de la figura 6.1,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con una sola base PostgreSQL y un esquema por módulo.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Consecuencias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+ Transacciones locales y una operación simple.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+ Se puede separar un módulo más adelante si hace falta.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- No se puede escalar ni desplegar un módulo por separado.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- Hay que cuidar los límites entre módulos (función de aptitud).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6747A" w:sz="12"/>
              <w:bottom w:val="none" w:color="FFFFFF" w:sz="0"/>
              <w:right w:val="none" w:color="FFFFFF" w:sz="0"/>
            </w:tcBorders>
            <w:shd w:fill="F4F6F7" w:color="auto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ADR-002 · La base garantiza la no superposición de turnos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Estado: aceptada (septiembre de 2026)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Contexto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TRN-FR-002. Dos clientes pueden confirmar el mismo horario a la vez;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la validación en la aplicación no alcanza (Vol. 05, figura 9.1).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Decisión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Restricción EXCLUDE sobre (recurso, rango horario) en PostgreSQL. El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dominio también la verifica, para dar el mensaje de CA-01.2.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Consecuencias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+ La doble reserva es imposible, aunque haya varias instancias.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- Ata la regla a PostgreSQL y a tener una sola base de turnos.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- Si ADR-001 cambia, esta decisión tiene que revisarse.</w:t>
            </w:r>
          </w:p>
        </w:tc>
      </w:tr>
    </w:tbl>
    <w:p>
      <w:pPr>
        <w:spacing w:after="100"/>
      </w:pPr>
    </w:p>
    <w:p>
      <w:pPr>
        <w:spacing w:after="110" w:line="276"/>
      </w:pPr>
      <w:r>
        <w:t xml:space="preserve">Fijate que ADR-002 depende de ADR-001. Los registros hacen visibles esas dependencias, que de otro modo solo estarían en la cabeza de quien las tomó.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Una decisión que no está escrita se vuelve a discutir cada vez que alguien nuevo llega al equipo.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5BB7" w:sz="24"/>
              <w:bottom w:val="none" w:color="FFFFFF" w:sz="0"/>
              <w:right w:val="none" w:color="FFFFFF" w:sz="0"/>
            </w:tcBorders>
            <w:shd w:fill="EEF2FC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2F5BB7"/>
                <w:spacing w:val="30"/>
                <w:sz w:val="16"/>
                <w:szCs w:val="16"/>
              </w:rPr>
              <w:t xml:space="preserve">PRACTICÁ  ·  APLICAR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Tu primer ADR</w:t>
            </w:r>
          </w:p>
          <w:p>
            <w:pPr>
              <w:spacing w:after="60" w:line="276"/>
            </w:pPr>
            <w:r>
              <w:t xml:space="preserve">Escribí el ADR de una decisión del Vol. 06: usar claves de idempotencia en POST /turnos. Incluí contexto, decisión y al menos dos consecuencias, una positiva y una negativa.</w:t>
            </w:r>
          </w:p>
        </w:tc>
      </w:tr>
    </w:tbl>
    <w:p>
      <w:pPr>
        <w:spacing w:after="40"/>
      </w:pPr>
    </w:p>
    <w:p>
      <w:pPr>
        <w:keepNext/>
        <w:pBdr>
          <w:top w:val="single" w:color="DDEFF2" w:sz="4" w:space="6"/>
        </w:pBdr>
        <w:spacing w:after="40" w:before="160"/>
      </w:pPr>
      <w:r>
        <w:rPr>
          <w:b/>
          <w:bCs/>
          <w:color w:val="66747A"/>
          <w:spacing w:val="30"/>
          <w:sz w:val="15"/>
          <w:szCs w:val="15"/>
        </w:rPr>
        <w:t xml:space="preserve">FUENTES DEL CAPÍTULO</w:t>
      </w:r>
    </w:p>
    <w:p>
      <w:pPr>
        <w:spacing w:after="0" w:line="252"/>
      </w:pPr>
      <w:r>
        <w:rPr>
          <w:color w:val="66747A"/>
          <w:sz w:val="17"/>
          <w:szCs w:val="17"/>
        </w:rPr>
        <w:t xml:space="preserve">Nygard, M. — </w:t>
      </w:r>
      <w:commentRangeStart w:id="12"/>
      <w:r>
        <w:rPr>
          <w:color w:val="66747A"/>
          <w:sz w:val="17"/>
          <w:szCs w:val="17"/>
        </w:rPr>
        <w:t xml:space="preserve">“Documenting Architecture Decisions”</w:t>
      </w:r>
      <w:commentRangeEnd w:id="12"/>
      <w:r>
        <w:commentReference w:id="12"/>
      </w:r>
      <w:r>
        <w:rPr>
          <w:color w:val="66747A"/>
          <w:sz w:val="17"/>
          <w:szCs w:val="17"/>
        </w:rPr>
        <w:t xml:space="preserve">.</w:t>
      </w:r>
      <w:r>
        <w:rPr>
          <w:color w:val="DDEFF2"/>
          <w:sz w:val="17"/>
          <w:szCs w:val="17"/>
        </w:rPr>
        <w:t xml:space="preserve">   ·   </w:t>
      </w:r>
      <w:r>
        <w:rPr>
          <w:color w:val="66747A"/>
          <w:sz w:val="17"/>
          <w:szCs w:val="17"/>
        </w:rPr>
        <w:t xml:space="preserve">Ford, N., Parsons, R. y Kua, P. (2017). </w:t>
      </w:r>
      <w:r>
        <w:rPr>
          <w:i/>
          <w:iCs/>
          <w:color w:val="66747A"/>
          <w:sz w:val="17"/>
          <w:szCs w:val="17"/>
        </w:rPr>
        <w:t xml:space="preserve">Building Evolutionary Architectures</w:t>
      </w:r>
      <w:r>
        <w:rPr>
          <w:color w:val="66747A"/>
          <w:sz w:val="17"/>
          <w:szCs w:val="17"/>
        </w:rPr>
        <w:t xml:space="preserve">. O'Reilly.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/>
      </w:r>
    </w:p>
    <w:p>
      <w:pPr>
        <w:pStyle w:val="Heading1"/>
        <w:spacing w:after="160"/>
      </w:pPr>
      <w:r>
        <w:t xml:space="preserve">Desafío integrador: Turnify para 200 lavaderos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Una empresa quiere ofrecer Turnify como servicio a lavaderos de todo el país. Cada lavadero tiene sus propios servicios, recursos y clientes.</w:t>
      </w:r>
    </w:p>
    <w:p>
      <w:pPr>
        <w:spacing w:after="110" w:line="276"/>
      </w:pPr>
      <w:r>
        <w:rPr>
          <w:b/>
          <w:bCs/>
        </w:rPr>
        <w:t xml:space="preserve">Partí de los atributos de calidad, no de las tecnologías:</w:t>
      </w:r>
      <w:r>
        <w:t xml:space="preserve"> cada decisión tiene que poder justificarse con un escenario.</w:t>
      </w:r>
    </w:p>
    <w:p>
      <w:pPr>
        <w:pStyle w:val="Heading2"/>
        <w:keepNext/>
        <w:spacing w:after="100" w:before="240"/>
      </w:pPr>
      <w:r>
        <w:t xml:space="preserve">Entregables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Qué decisiones de los ADR-001 y ADR-002 siguen valiendo y cuáles hay que revisar. </w:t>
      </w:r>
      <w:r>
        <w:rPr>
          <w:i/>
          <w:iCs/>
        </w:rPr>
        <w:t xml:space="preserve">(caps. 01 y 12)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Los tres atributos de calidad más importantes ahora y un escenario para cada uno. </w:t>
      </w:r>
      <w:r>
        <w:rPr>
          <w:i/>
          <w:iCs/>
        </w:rPr>
        <w:t xml:space="preserve">(cap. 02)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Los diagramas de contexto y de contenedores actualizados. </w:t>
      </w:r>
      <w:r>
        <w:rPr>
          <w:i/>
          <w:iCs/>
        </w:rPr>
        <w:t xml:space="preserve">(cap. 03)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La elección de estilo, con su compromiso explícito. </w:t>
      </w:r>
      <w:r>
        <w:rPr>
          <w:i/>
          <w:iCs/>
        </w:rPr>
        <w:t xml:space="preserve">(cap. 04)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Cómo se separan los datos de cada lavadero. </w:t>
      </w:r>
      <w:r>
        <w:rPr>
          <w:i/>
          <w:iCs/>
        </w:rPr>
        <w:t xml:space="preserve">(cap. 07)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Qué comunicación pasa a ser asíncrona. </w:t>
      </w:r>
      <w:r>
        <w:rPr>
          <w:i/>
          <w:iCs/>
        </w:rPr>
        <w:t xml:space="preserve">(cap. 08)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Un diagrama de despliegue y qué escala primero. </w:t>
      </w:r>
      <w:r>
        <w:rPr>
          <w:i/>
          <w:iCs/>
        </w:rPr>
        <w:t xml:space="preserve">(cap. 09)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Los SLO del servicio. </w:t>
      </w:r>
      <w:r>
        <w:rPr>
          <w:i/>
          <w:iCs/>
        </w:rPr>
        <w:t xml:space="preserve">(cap. 10)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Las amenazas nuevas que aparecen con muchos lavaderos. </w:t>
      </w:r>
      <w:r>
        <w:rPr>
          <w:i/>
          <w:iCs/>
        </w:rPr>
        <w:t xml:space="preserve">(cap. 11)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Dos ADR nuevos. </w:t>
      </w:r>
      <w:r>
        <w:rPr>
          <w:i/>
          <w:iCs/>
        </w:rPr>
        <w:t xml:space="preserve">(cap. 12)</w:t>
      </w:r>
    </w:p>
    <w:p>
      <w:pPr>
        <w:pStyle w:val="Heading2"/>
        <w:keepNext/>
        <w:spacing w:after="100" w:before="240"/>
      </w:pPr>
      <w:r>
        <w:t xml:space="preserve">Preguntas de defensa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¿Qué atributo de calidad justifica cada decisión?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¿Qué compromiso aceptaste y qué perdiste a cambio?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¿Qué pasa con la regla de no superposición en tu nueva arquitectura?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¿Cómo impedís que un lavadero vea los datos de otro?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¿Qué decisión sería más costosa de revertir?</w:t>
      </w:r>
    </w:p>
    <w:p>
      <w:pPr>
        <w:pStyle w:val="Heading2"/>
        <w:keepNext/>
        <w:spacing w:after="100" w:before="240"/>
      </w:pPr>
      <w:r>
        <w:t xml:space="preserve">Criterio de autoevaluación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38"/>
      </w:tblGrid>
      <w:tr>
        <w:trPr>
          <w:cantSplit/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Podés…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Conocer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explicar conceptos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Explicás atributo de calidad, vista, estilo, acoplamiento, consistencia, SLO y ADR.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Aplicar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construir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Escribís escenarios de calidad, diagramas C4 y ADR para un caso real.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Analizar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decidir y justificar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Elegís entre alternativas explicitando compromisos, y reconocés cuándo hace falta un especialista.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/>
      </w:r>
    </w:p>
    <w:p>
      <w:pPr>
        <w:pStyle w:val="Heading1"/>
        <w:spacing w:after="160"/>
      </w:pPr>
      <w:r>
        <w:t xml:space="preserve">Cierre del tronco: el hilo de la doble reserva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Este es el último volumen de Fundamentos. Vale la pena mirar hacia atrás.</w:t>
      </w:r>
    </w:p>
    <w:p>
      <w:pPr>
        <w:spacing w:after="110" w:line="276"/>
      </w:pPr>
      <w:r>
        <w:t xml:space="preserve">Hay un problema que atravesó los siete volúmenes: que dos clientes reserven el mismo horario. Seguirlo muestra cómo cada disciplina aporta una pieza distinta a la misma solución.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338"/>
      </w:tblGrid>
      <w:tr>
        <w:trPr>
          <w:cantSplit/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Vol.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pregunta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 pieza que aportó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¿Cuál es el problema?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“A veces se asignan dos vehículos al mismo horario”: un síntoma, no un requisito.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02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¿Qué tiene que garantizarse?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TRN-FR-002: no confirmar un turno si el recurso está ocupado.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03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¿Cómo se ve en el comportamiento?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desvío 6b del CU-01 y el criterio CA-01.2.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04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¿Dónde aparece en los modelos?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La vuelta en el diagrama de actividad y el fragmento alt de la secuencia.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05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¿Cómo se garantiza en los datos?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La restricción de exclusión y el análisis de concurrencia.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06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¿Qué pasa al cruzar la red?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409 con Problem Details y la clave de idempotencia.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07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¿Qué decisión la sostiene?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ADR-001 y ADR-002: una base, una transacción, una restricción.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4C5B" w:sz="24"/>
              <w:bottom w:val="none" w:color="FFFFFF" w:sz="0"/>
              <w:right w:val="none" w:color="FFFFFF" w:sz="0"/>
            </w:tcBorders>
            <w:shd w:fill="EEF7F9" w:color="auto" w:val="clear"/>
            <w:tcMar>
              <w:top w:type="dxa" w:w="110"/>
              <w:left w:type="dxa" w:w="240"/>
              <w:bottom w:type="dxa" w:w="70"/>
              <w:right w:type="dxa" w:w="2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174C5B"/>
                <w:spacing w:val="30"/>
                <w:sz w:val="16"/>
                <w:szCs w:val="16"/>
              </w:rPr>
              <w:t xml:space="preserve">IDEA CLAVE</w:t>
            </w:r>
          </w:p>
          <w:p>
            <w:pPr>
              <w:keepNext/>
              <w:spacing w:after="80"/>
            </w:pPr>
            <w:r>
              <w:rPr>
                <w:b/>
                <w:bCs/>
                <w:color w:val="1E2A2F"/>
                <w:sz w:val="23"/>
                <w:szCs w:val="23"/>
              </w:rPr>
              <w:t xml:space="preserve">Ningún volumen resolvió el problema solo.</w:t>
            </w:r>
          </w:p>
          <w:p>
            <w:pPr>
              <w:spacing w:after="60" w:line="276"/>
            </w:pPr>
            <w:r>
              <w:t xml:space="preserve">El análisis lo encontró, los requisitos lo precisaron, los modelos lo hicieron visible, los datos lo garantizaron, la API lo comunicó y la arquitectura lo sostiene. Eso es pensar como analista de sistemas.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Tronco de formación · Fundamentos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01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sistema antes del código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02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Ingeniería de requisitos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03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Casos de uso, historias y criterios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04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Modelado con UML y BPMN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05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Datos y dominio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06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APIs e integración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EEF7F9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07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EEF7F9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sz w:val="20"/>
                <w:szCs w:val="20"/>
              </w:rPr>
              <w:t xml:space="preserve">Arquitectura</w:t>
            </w:r>
            <w:r>
              <w:rPr>
                <w:sz w:val="20"/>
                <w:szCs w:val="20"/>
              </w:rPr>
              <w:t xml:space="preserve">  ← estás acá · tronco completo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/>
      </w:r>
    </w:p>
    <w:p>
      <w:pPr>
        <w:pStyle w:val="Heading1"/>
        <w:spacing w:after="160"/>
      </w:pPr>
      <w:r>
        <w:t xml:space="preserve">Mapa de salida: qué deberías llevarte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Una decisión es arquitectónica si cambiarla después cuesta mucho.</w:t>
      </w:r>
      <w:r>
        <w:rPr>
          <w:color w:val="66747A"/>
          <w:sz w:val="18"/>
          <w:szCs w:val="18"/>
        </w:rPr>
        <w:t xml:space="preserve">   cap. 01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Los atributos de calidad se vuelven medibles con escenarios.</w:t>
      </w:r>
      <w:r>
        <w:rPr>
          <w:color w:val="66747A"/>
          <w:sz w:val="18"/>
          <w:szCs w:val="18"/>
        </w:rPr>
        <w:t xml:space="preserve">   cap. 02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Cada diagrama tiene un público y una pregunta; C4 ofrece niveles de zoom.</w:t>
      </w:r>
      <w:r>
        <w:rPr>
          <w:color w:val="66747A"/>
          <w:sz w:val="18"/>
          <w:szCs w:val="18"/>
        </w:rPr>
        <w:t xml:space="preserve">   cap. 03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El estilo se elige por los atributos que el negocio necesita.</w:t>
      </w:r>
      <w:r>
        <w:rPr>
          <w:color w:val="66747A"/>
          <w:sz w:val="18"/>
          <w:szCs w:val="18"/>
        </w:rPr>
        <w:t xml:space="preserve">   cap. 04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Las reglas de negocio no dependen de la base ni del framework.</w:t>
      </w:r>
      <w:r>
        <w:rPr>
          <w:color w:val="66747A"/>
          <w:sz w:val="18"/>
          <w:szCs w:val="18"/>
        </w:rPr>
        <w:t xml:space="preserve">   cap. 05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Lo que cambia junto va junto.</w:t>
      </w:r>
      <w:r>
        <w:rPr>
          <w:color w:val="66747A"/>
          <w:sz w:val="18"/>
          <w:szCs w:val="18"/>
        </w:rPr>
        <w:t xml:space="preserve">   cap. 06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Separar datos es fácil; separar sus garantías, no.</w:t>
      </w:r>
      <w:r>
        <w:rPr>
          <w:color w:val="66747A"/>
          <w:sz w:val="18"/>
          <w:szCs w:val="18"/>
        </w:rPr>
        <w:t xml:space="preserve">   cap. 07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Síncrono cuando el negocio necesita la respuesta ahora; si no, avisar.</w:t>
      </w:r>
      <w:r>
        <w:rPr>
          <w:color w:val="66747A"/>
          <w:sz w:val="18"/>
          <w:szCs w:val="18"/>
        </w:rPr>
        <w:t xml:space="preserve">   cap. 08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Una API sin estado es la condición para escalar horizontalmente.</w:t>
      </w:r>
      <w:r>
        <w:rPr>
          <w:color w:val="66747A"/>
          <w:sz w:val="18"/>
          <w:szCs w:val="18"/>
        </w:rPr>
        <w:t xml:space="preserve">   cap. 09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Los SLO conectan la operación con los requisitos.</w:t>
      </w:r>
      <w:r>
        <w:rPr>
          <w:color w:val="66747A"/>
          <w:sz w:val="18"/>
          <w:szCs w:val="18"/>
        </w:rPr>
        <w:t xml:space="preserve">   cap. 10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La seguridad de un sistema es la de su frontera más débil.</w:t>
      </w:r>
      <w:r>
        <w:rPr>
          <w:color w:val="66747A"/>
          <w:sz w:val="18"/>
          <w:szCs w:val="18"/>
        </w:rPr>
        <w:t xml:space="preserve">   cap. 11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Una decisión que no está escrita se vuelve a discutir.</w:t>
      </w:r>
      <w:r>
        <w:rPr>
          <w:color w:val="66747A"/>
          <w:sz w:val="18"/>
          <w:szCs w:val="18"/>
        </w:rPr>
        <w:t xml:space="preserve">   cap. 12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/>
      </w:r>
    </w:p>
    <w:p>
      <w:pPr>
        <w:pStyle w:val="Heading1"/>
        <w:spacing w:after="160"/>
      </w:pPr>
      <w:r>
        <w:t xml:space="preserve">Respuestas orientativas</w:t>
      </w:r>
    </w:p>
    <w:p>
      <w:pPr>
        <w:pBdr>
          <w:bottom w:val="single" w:color="DDEFF2" w:sz="6" w:space="10"/>
        </w:pBdr>
        <w:spacing w:after="280"/>
      </w:pPr>
      <w:r>
        <w:rPr>
          <w:i/>
          <w:iCs/>
          <w:color w:val="66747A"/>
          <w:sz w:val="23"/>
          <w:szCs w:val="23"/>
        </w:rPr>
        <w:t xml:space="preserve">En arquitectura casi nunca hay una única respuesta correcta. Lo que se evalúa es que el compromiso esté explícito y justificado.</w:t>
      </w:r>
    </w:p>
    <w:p>
      <w:pPr>
        <w:pStyle w:val="Heading2"/>
        <w:keepNext/>
        <w:spacing w:after="100" w:before="240"/>
      </w:pPr>
      <w:r>
        <w:t xml:space="preserve">Cap. 01 — ¿Arquitectura o diseño?  ·  Conocer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Usar PostgreSQL: arquitectura (la regla de no superposición depende de él).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Nombrar el endpoint /turnos: diseño, aunque una vez publicado cuesta más (Vol. 06, cap. 12).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Cancelar cambiando el estado: arquitectura; condiciona los datos, la auditoría y la API.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React en el panel: diseño; el panel puede reescribirse sin tocar el resto.</w:t>
      </w:r>
    </w:p>
    <w:p>
      <w:pPr>
        <w:pStyle w:val="ListParagraph"/>
        <w:numPr>
          <w:ilvl w:val="0"/>
          <w:numId w:val="3"/>
        </w:numPr>
        <w:spacing w:after="30" w:line="264"/>
      </w:pPr>
      <w:r>
        <w:t xml:space="preserve">Claves de idempotencia: arquitectura; es parte del contrato y requiere una tabla y un flujo propios.</w:t>
      </w:r>
    </w:p>
    <w:p>
      <w:pPr>
        <w:pStyle w:val="Heading2"/>
        <w:keepNext/>
        <w:spacing w:after="100" w:before="240"/>
      </w:pPr>
      <w:r>
        <w:t xml:space="preserve">Cap. 02 — Un escenario de disponibilidad  ·  Aplicar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174C5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 posible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Fuente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servicio de mensajería.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Estímulo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Deja de responder.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Entorno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Operación normal, durante una hora.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Artefacto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El procesador de avisos.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Respuesta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FFFFF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Las reservas siguen funcionando; los avisos quedan pendientes y se envían al volver el servicio.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b/>
                <w:bCs/>
                <w:color w:val="174C5B"/>
                <w:sz w:val="20"/>
                <w:szCs w:val="20"/>
              </w:rPr>
              <w:t xml:space="preserve">Medida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single" w:color="DDEFF2" w:sz="4"/>
              <w:right w:val="none" w:color="FFFFFF" w:sz="0"/>
            </w:tcBorders>
            <w:shd w:fill="F3F5F6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20" w:line="276"/>
            </w:pPr>
            <w:r>
              <w:rPr>
                <w:sz w:val="20"/>
                <w:szCs w:val="20"/>
              </w:rPr>
              <w:t xml:space="preserve">Cero reservas rechazadas por la falla; el 99 % de los avisos pendientes sale dentro de los 10 minutos posteriores a la recuperación.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00" w:before="240"/>
      </w:pPr>
      <w:r>
        <w:t xml:space="preserve">Cap. 03 — ¿Qué diagrama para quién?  ·  Aplicar</w:t>
      </w:r>
    </w:p>
    <w:p>
      <w:pPr>
        <w:spacing w:after="110" w:line="276"/>
      </w:pPr>
      <w:r>
        <w:t xml:space="preserve">Al dueño, el de contexto (figura 3.1): muestra que el proveedor de pagos es una integración nueva. Al desarrollador nuevo, el de contenedores y el de módulos (figuras 3.2 y 6.1). A seguridad, el de contenedores y el de despliegue, marcando las fronteras de confianza (cap. 11).</w:t>
      </w:r>
    </w:p>
    <w:p>
      <w:pPr>
        <w:pStyle w:val="Heading2"/>
        <w:keepNext/>
        <w:spacing w:after="100" w:before="240"/>
      </w:pPr>
      <w:r>
        <w:t xml:space="preserve">Cap. 04 — ¿Cuándo separar?  ·  Analizar</w:t>
      </w:r>
    </w:p>
    <w:p>
      <w:pPr>
        <w:spacing w:after="110" w:line="276"/>
      </w:pPr>
      <w:r>
        <w:t xml:space="preserve">Notificaciones: ya se comunica por eventos, no participa en la regla de no superposición y su carga crece con la cantidad de lavaderos. La señal sería que su carga o sus fallas empiecen a afectar a las reservas, o que un equipo distinto necesite desplegarlo por separado.</w:t>
      </w:r>
    </w:p>
    <w:p>
      <w:pPr>
        <w:pStyle w:val="Heading2"/>
        <w:keepNext/>
        <w:spacing w:after="100" w:before="240"/>
      </w:pPr>
      <w:r>
        <w:t xml:space="preserve">Cap. 05 — Un adaptador nuevo  ·  Aplicar</w:t>
      </w:r>
    </w:p>
    <w:p>
      <w:pPr>
        <w:spacing w:after="110" w:line="276"/>
      </w:pPr>
      <w:r>
        <w:t xml:space="preserve">Se agrega un adaptador de entrada (el bot de WhatsApp) que llama al mismo caso de uso ReservarTurno. El núcleo, los puertos y los adaptadores de salida quedan igual. Es exactamente para lo que sirve la separación.</w:t>
      </w:r>
    </w:p>
    <w:p>
      <w:pPr>
        <w:pStyle w:val="Heading2"/>
        <w:keepNext/>
        <w:spacing w:after="100" w:before="240"/>
      </w:pPr>
      <w:r>
        <w:t xml:space="preserve">Cap. 06 — Un módulo nuevo  ·  Analizar</w:t>
      </w:r>
    </w:p>
    <w:p>
      <w:pPr>
        <w:spacing w:after="110" w:line="276"/>
      </w:pPr>
      <w:r>
        <w:t xml:space="preserve">Conviene un módulo Pagos: cambia por razones distintas (el proveedor, la normativa) que Reservas. Pagos dependería de Clientes; Reservas dependería de Pagos solo si la seña es condición para confirmar, y en ese caso conviene que se comuniquen por eventos o con un estado “pendiente de pago”.</w:t>
      </w:r>
    </w:p>
    <w:p>
      <w:pPr>
        <w:pStyle w:val="Heading2"/>
        <w:keepNext/>
        <w:spacing w:after="100" w:before="240"/>
      </w:pPr>
      <w:r>
        <w:t xml:space="preserve">Cap. 07 — Una lectura desactualizada  ·  Analizar</w:t>
      </w:r>
    </w:p>
    <w:p>
      <w:pPr>
        <w:spacing w:after="110" w:line="276"/>
      </w:pPr>
      <w:r>
        <w:t xml:space="preserve">El encargado podría ver libre un horario que ya se reservó. Para reportes y la agenda general es aceptable; para decidir si reasigna o aprueba un turno, no: esas pantallas tienen que leer la base principal, y de todos modos la restricción de exclusión impediría el error.</w:t>
      </w:r>
    </w:p>
    <w:p>
      <w:pPr>
        <w:pStyle w:val="Heading2"/>
        <w:keepNext/>
        <w:spacing w:after="100" w:before="240"/>
      </w:pPr>
      <w:r>
        <w:t xml:space="preserve">Cap. 08 — ¿Síncrono o asíncrono?  ·  Aplicar</w:t>
      </w:r>
    </w:p>
    <w:p>
      <w:pPr>
        <w:spacing w:after="110" w:line="276"/>
      </w:pPr>
      <w:r>
        <w:t xml:space="preserve">Verificar disponibilidad: síncrono (es la respuesta que el cliente espera). Avisar al encargado: asíncrono. Cobrar la seña: síncrono si el negocio exige el pago para confirmar, o asíncrono con un estado “pendiente de pago”. Actualizar el calendario: asíncrono.</w:t>
      </w:r>
    </w:p>
    <w:p>
      <w:pPr>
        <w:pStyle w:val="Heading2"/>
        <w:keepNext/>
        <w:spacing w:after="100" w:before="240"/>
      </w:pPr>
      <w:r>
        <w:t xml:space="preserve">Cap. 09 — El sábado a la mañana  ·  Analizar</w:t>
      </w:r>
    </w:p>
    <w:p>
      <w:pPr>
        <w:spacing w:after="110" w:line="276"/>
      </w:pPr>
      <w:r>
        <w:t xml:space="preserve">Las instancias de la API escalan primero, porque no tienen estado. El cuello de botella probable es la base: todas las instancias escriben en ella, y las reservas del mismo recurso compiten por la misma restricción. Antes de escalarla, conviene medir (cap. 10).</w:t>
      </w:r>
    </w:p>
    <w:p>
      <w:pPr>
        <w:pStyle w:val="Heading2"/>
        <w:keepNext/>
        <w:spacing w:after="100" w:before="240"/>
      </w:pPr>
      <w:r>
        <w:t xml:space="preserve">Cap. 10 — Una traza  ·  Aplicar</w:t>
      </w:r>
    </w:p>
    <w:p>
      <w:pPr>
        <w:spacing w:after="110" w:line="276"/>
      </w:pPr>
      <w:r>
        <w:t xml:space="preserve">Balanceador → instancia de la API → autenticación → caso de uso ReservarTurno → consulta de la clave de idempotencia → inserción del turno y del evento (una transacción) → respuesta. Más tarde, en otra traza enlazada: procesador de avisos → lectura del evento → llamada a la mensajería.</w:t>
      </w:r>
    </w:p>
    <w:p>
      <w:pPr>
        <w:pStyle w:val="Heading2"/>
        <w:keepNext/>
        <w:spacing w:after="100" w:before="240"/>
      </w:pPr>
      <w:r>
        <w:t xml:space="preserve">Cap. 11 — Una amenaza más  ·  Analizar</w:t>
      </w:r>
    </w:p>
    <w:p>
      <w:pPr>
        <w:spacing w:after="110" w:line="276"/>
      </w:pPr>
      <w:r>
        <w:t xml:space="preserve">La frontera más expuesta es la consulta pública de disponibilidad (Vol. 06): no requiere autenticación y cada consulta calcula horarios. Controles: límite de solicitudes por origen (429), caché de corta duración para la disponibilidad y un SLO que avise si la latencia sube.</w:t>
      </w:r>
    </w:p>
    <w:p>
      <w:pPr>
        <w:pStyle w:val="Heading2"/>
        <w:keepNext/>
        <w:spacing w:after="100" w:before="240"/>
      </w:pPr>
      <w:r>
        <w:t xml:space="preserve">Cap. 12 — Tu primer ADR  ·  Aplicar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66747A" w:sz="12"/>
              <w:bottom w:val="none" w:color="FFFFFF" w:sz="0"/>
              <w:right w:val="none" w:color="FFFFFF" w:sz="0"/>
            </w:tcBorders>
            <w:shd w:fill="F4F6F7" w:color="auto" w:val="clear"/>
            <w:tcMar>
              <w:top w:type="dxa" w:w="110"/>
              <w:left w:type="dxa" w:w="220"/>
              <w:bottom w:type="dxa" w:w="11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ADR-003 · Claves de idempotencia en POST /turnos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Estado: aceptada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Contexto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Si la respuesta de una reserva se pierde, el reintento recibe 409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"horario ocupado" por su propio turno (Vol. 06, cap. 10).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Decisión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POST /turnos exige el encabezado Idempotency-Key. El servidor guarda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la clave junto con el turno, en la misma transacción, durante 24 horas.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Consecuencias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+ Los reintentos son seguros y el cliente recibe su turno.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- Los consumidores tienen que generar y conservar las claves.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E2A2F"/>
                <w:sz w:val="17"/>
                <w:szCs w:val="17"/>
              </w:rPr>
              <w:t xml:space="preserve">  - Hay una tabla más que limpiar periódicamente.</w:t>
            </w:r>
          </w:p>
        </w:tc>
      </w:tr>
    </w:tbl>
    <w:p>
      <w:pPr>
        <w:spacing w:after="100"/>
      </w:pP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66747A"/>
          <w:spacing w:val="40"/>
          <w:sz w:val="18"/>
          <w:szCs w:val="18"/>
        </w:rPr>
        <w:t xml:space="preserve"/>
      </w:r>
    </w:p>
    <w:p>
      <w:pPr>
        <w:pStyle w:val="Heading1"/>
        <w:spacing w:after="160"/>
      </w:pPr>
      <w:r>
        <w:t xml:space="preserve">Bibliografía y fuentes</w:t>
      </w:r>
    </w:p>
    <w:p>
      <w:pPr>
        <w:spacing w:after="110" w:line="276"/>
        <w:rPr>
          <w:i/>
          <w:iCs/>
          <w:color w:val="66747A"/>
          <w:sz w:val="19"/>
          <w:szCs w:val="19"/>
        </w:rPr>
      </w:pPr>
      <w:r>
        <w:rPr>
          <w:i/>
          <w:iCs/>
          <w:color w:val="66747A"/>
          <w:sz w:val="19"/>
          <w:szCs w:val="19"/>
        </w:rPr>
        <w:t xml:space="preserve">Este volumen se escribió de cero para la colección. Todas las referencias están marcadas para verificar ediciones, capítulos y enlaces antes de cerrar la versión.</w:t>
      </w:r>
    </w:p>
    <w:p>
      <w:pPr>
        <w:pStyle w:val="Heading2"/>
        <w:keepNext/>
        <w:spacing w:after="100" w:before="240"/>
      </w:pPr>
      <w:r>
        <w:t xml:space="preserve">Libros</w:t>
      </w:r>
    </w:p>
    <w:p>
      <w:pPr>
        <w:spacing w:after="80"/>
      </w:pPr>
      <w:r>
        <w:rPr>
          <w:sz w:val="21"/>
          <w:szCs w:val="21"/>
        </w:rPr>
        <w:t xml:space="preserve">Bass, L., Clements, P. y Kazman, R. (2021). </w:t>
      </w:r>
      <w:r>
        <w:rPr>
          <w:i/>
          <w:iCs/>
          <w:sz w:val="21"/>
          <w:szCs w:val="21"/>
        </w:rPr>
        <w:t xml:space="preserve">Software Architecture in Practice</w:t>
      </w:r>
      <w:r>
        <w:rPr>
          <w:sz w:val="21"/>
          <w:szCs w:val="21"/>
        </w:rPr>
        <w:t xml:space="preserve">, 4.ª ed. Addison-Wesley.</w:t>
      </w:r>
    </w:p>
    <w:p>
      <w:pPr>
        <w:spacing w:after="80"/>
      </w:pPr>
      <w:r>
        <w:rPr>
          <w:sz w:val="21"/>
          <w:szCs w:val="21"/>
        </w:rPr>
        <w:t xml:space="preserve">Beyer, B., Jones, C., Petoff, J. y Murphy, N. R. (eds.) (2016). </w:t>
      </w:r>
      <w:r>
        <w:rPr>
          <w:i/>
          <w:iCs/>
          <w:sz w:val="21"/>
          <w:szCs w:val="21"/>
        </w:rPr>
        <w:t xml:space="preserve">Site Reliability Engineering</w:t>
      </w:r>
      <w:r>
        <w:rPr>
          <w:sz w:val="21"/>
          <w:szCs w:val="21"/>
        </w:rPr>
        <w:t xml:space="preserve">. O'Reilly.</w:t>
      </w:r>
    </w:p>
    <w:p>
      <w:pPr>
        <w:spacing w:after="80"/>
      </w:pPr>
      <w:r>
        <w:rPr>
          <w:sz w:val="21"/>
          <w:szCs w:val="21"/>
        </w:rPr>
        <w:t xml:space="preserve">Evans, E. (2003). </w:t>
      </w:r>
      <w:r>
        <w:rPr>
          <w:i/>
          <w:iCs/>
          <w:sz w:val="21"/>
          <w:szCs w:val="21"/>
        </w:rPr>
        <w:t xml:space="preserve">Domain-Driven Design</w:t>
      </w:r>
      <w:r>
        <w:rPr>
          <w:sz w:val="21"/>
          <w:szCs w:val="21"/>
        </w:rPr>
        <w:t xml:space="preserve">. Addison-Wesley.</w:t>
      </w:r>
    </w:p>
    <w:p>
      <w:pPr>
        <w:spacing w:after="80"/>
      </w:pPr>
      <w:r>
        <w:rPr>
          <w:sz w:val="21"/>
          <w:szCs w:val="21"/>
        </w:rPr>
        <w:t xml:space="preserve">Ford, N., Parsons, R. y Kua, P. (2017). </w:t>
      </w:r>
      <w:r>
        <w:rPr>
          <w:i/>
          <w:iCs/>
          <w:sz w:val="21"/>
          <w:szCs w:val="21"/>
        </w:rPr>
        <w:t xml:space="preserve">Building Evolutionary Architectures</w:t>
      </w:r>
      <w:r>
        <w:rPr>
          <w:sz w:val="21"/>
          <w:szCs w:val="21"/>
        </w:rPr>
        <w:t xml:space="preserve">. O'Reilly.</w:t>
      </w:r>
    </w:p>
    <w:p>
      <w:pPr>
        <w:spacing w:after="80"/>
      </w:pPr>
      <w:r>
        <w:rPr>
          <w:sz w:val="21"/>
          <w:szCs w:val="21"/>
        </w:rPr>
        <w:t xml:space="preserve">Hohpe, G. y Woolf, B. (2003). </w:t>
      </w:r>
      <w:r>
        <w:rPr>
          <w:i/>
          <w:iCs/>
          <w:sz w:val="21"/>
          <w:szCs w:val="21"/>
        </w:rPr>
        <w:t xml:space="preserve">Enterprise Integration Patterns</w:t>
      </w:r>
      <w:r>
        <w:rPr>
          <w:sz w:val="21"/>
          <w:szCs w:val="21"/>
        </w:rPr>
        <w:t xml:space="preserve">. Addison-Wesley.</w:t>
      </w:r>
    </w:p>
    <w:p>
      <w:pPr>
        <w:spacing w:after="80"/>
      </w:pPr>
      <w:r>
        <w:rPr>
          <w:sz w:val="21"/>
          <w:szCs w:val="21"/>
        </w:rPr>
        <w:t xml:space="preserve">Kleppmann, M. (2017). </w:t>
      </w:r>
      <w:r>
        <w:rPr>
          <w:i/>
          <w:iCs/>
          <w:sz w:val="21"/>
          <w:szCs w:val="21"/>
        </w:rPr>
        <w:t xml:space="preserve">Designing Data-Intensive Applications</w:t>
      </w:r>
      <w:r>
        <w:rPr>
          <w:sz w:val="21"/>
          <w:szCs w:val="21"/>
        </w:rPr>
        <w:t xml:space="preserve">. O'Reilly.</w:t>
      </w:r>
    </w:p>
    <w:p>
      <w:pPr>
        <w:spacing w:after="80"/>
      </w:pPr>
      <w:r>
        <w:rPr>
          <w:sz w:val="21"/>
          <w:szCs w:val="21"/>
        </w:rPr>
        <w:t xml:space="preserve">Martin, R. C. (2017). </w:t>
      </w:r>
      <w:r>
        <w:rPr>
          <w:i/>
          <w:iCs/>
          <w:sz w:val="21"/>
          <w:szCs w:val="21"/>
        </w:rPr>
        <w:t xml:space="preserve">Clean Architecture</w:t>
      </w:r>
      <w:r>
        <w:rPr>
          <w:sz w:val="21"/>
          <w:szCs w:val="21"/>
        </w:rPr>
        <w:t xml:space="preserve">. Prentice Hall.</w:t>
      </w:r>
    </w:p>
    <w:p>
      <w:pPr>
        <w:spacing w:after="80"/>
      </w:pPr>
      <w:r>
        <w:rPr>
          <w:sz w:val="21"/>
          <w:szCs w:val="21"/>
        </w:rPr>
        <w:t xml:space="preserve">Richards, M. y Ford, N. (2020). </w:t>
      </w:r>
      <w:r>
        <w:rPr>
          <w:i/>
          <w:iCs/>
          <w:sz w:val="21"/>
          <w:szCs w:val="21"/>
        </w:rPr>
        <w:t xml:space="preserve">Fundamentals of Software Architecture</w:t>
      </w:r>
      <w:r>
        <w:rPr>
          <w:sz w:val="21"/>
          <w:szCs w:val="21"/>
        </w:rPr>
        <w:t xml:space="preserve">. O'Reilly.</w:t>
      </w:r>
    </w:p>
    <w:p>
      <w:pPr>
        <w:spacing w:after="80"/>
      </w:pPr>
      <w:r>
        <w:rPr>
          <w:sz w:val="21"/>
          <w:szCs w:val="21"/>
        </w:rPr>
        <w:t xml:space="preserve">Shostack, A. (2014). </w:t>
      </w:r>
      <w:r>
        <w:rPr>
          <w:i/>
          <w:iCs/>
          <w:sz w:val="21"/>
          <w:szCs w:val="21"/>
        </w:rPr>
        <w:t xml:space="preserve">Threat Modeling: Designing for Security</w:t>
      </w:r>
      <w:r>
        <w:rPr>
          <w:sz w:val="21"/>
          <w:szCs w:val="21"/>
        </w:rPr>
        <w:t xml:space="preserve">. Wiley.</w:t>
      </w:r>
    </w:p>
    <w:p>
      <w:pPr>
        <w:pStyle w:val="Heading2"/>
        <w:keepNext/>
        <w:spacing w:after="100" w:before="240"/>
      </w:pPr>
      <w:r>
        <w:t xml:space="preserve">Normas y artículos</w:t>
      </w:r>
    </w:p>
    <w:p>
      <w:pPr>
        <w:spacing w:after="80"/>
      </w:pPr>
      <w:r>
        <w:rPr>
          <w:sz w:val="21"/>
          <w:szCs w:val="21"/>
        </w:rPr>
        <w:t xml:space="preserve">ISO/IEC/IEEE 42010:2022 — Software, systems and enterprise — Architecture description.</w:t>
      </w:r>
    </w:p>
    <w:p>
      <w:pPr>
        <w:spacing w:after="80"/>
      </w:pPr>
      <w:r>
        <w:rPr>
          <w:sz w:val="21"/>
          <w:szCs w:val="21"/>
        </w:rPr>
        <w:t xml:space="preserve">ISO/IEC 25010:2023 — Product quality model.</w:t>
      </w:r>
    </w:p>
    <w:p>
      <w:pPr>
        <w:spacing w:after="80"/>
      </w:pPr>
      <w:r>
        <w:rPr>
          <w:sz w:val="21"/>
          <w:szCs w:val="21"/>
        </w:rPr>
        <w:t xml:space="preserve">Conway, M. E. (1968). “How Do Committees Invent?”. </w:t>
      </w:r>
      <w:r>
        <w:rPr>
          <w:i/>
          <w:iCs/>
          <w:sz w:val="21"/>
          <w:szCs w:val="21"/>
        </w:rPr>
        <w:t xml:space="preserve">Datamation</w:t>
      </w:r>
      <w:r>
        <w:rPr>
          <w:sz w:val="21"/>
          <w:szCs w:val="21"/>
        </w:rPr>
        <w:t xml:space="preserve">.</w:t>
      </w:r>
    </w:p>
    <w:p>
      <w:pPr>
        <w:spacing w:after="80"/>
      </w:pPr>
      <w:r>
        <w:rPr>
          <w:sz w:val="21"/>
          <w:szCs w:val="21"/>
        </w:rPr>
        <w:t xml:space="preserve">Parnas, D. L. (1972). “On the Criteria To Be Used in Decomposing Systems into Modules”. </w:t>
      </w:r>
      <w:r>
        <w:rPr>
          <w:i/>
          <w:iCs/>
          <w:sz w:val="21"/>
          <w:szCs w:val="21"/>
        </w:rPr>
        <w:t xml:space="preserve">Communications of the ACM</w:t>
      </w:r>
      <w:r>
        <w:rPr>
          <w:sz w:val="21"/>
          <w:szCs w:val="21"/>
        </w:rPr>
        <w:t xml:space="preserve">.</w:t>
      </w:r>
    </w:p>
    <w:p>
      <w:pPr>
        <w:pStyle w:val="Heading2"/>
        <w:keepNext/>
        <w:spacing w:after="100" w:before="240"/>
      </w:pPr>
      <w:r>
        <w:t xml:space="preserve">Fuentes web</w:t>
      </w:r>
    </w:p>
    <w:p>
      <w:pPr>
        <w:spacing w:after="80"/>
      </w:pPr>
      <w:r>
        <w:rPr>
          <w:sz w:val="21"/>
          <w:szCs w:val="21"/>
        </w:rPr>
        <w:t xml:space="preserve">Brown, S. — The C4 model for visualising software architecture (c4model.com).</w:t>
      </w:r>
    </w:p>
    <w:p>
      <w:pPr>
        <w:spacing w:after="80"/>
      </w:pPr>
      <w:r>
        <w:rPr>
          <w:sz w:val="21"/>
          <w:szCs w:val="21"/>
        </w:rPr>
        <w:t xml:space="preserve">Cockburn, A. (2005). “Hexagonal Architecture”.</w:t>
      </w:r>
    </w:p>
    <w:p>
      <w:pPr>
        <w:spacing w:after="80"/>
      </w:pPr>
      <w:r>
        <w:rPr>
          <w:sz w:val="21"/>
          <w:szCs w:val="21"/>
        </w:rPr>
        <w:t xml:space="preserve">Fowler, M. (2015). “MonolithFirst”; Lewis, J. y Fowler, M. (2014). “Microservices” (martinfowler.com).</w:t>
      </w:r>
    </w:p>
    <w:p>
      <w:pPr>
        <w:spacing w:after="80"/>
      </w:pPr>
      <w:r>
        <w:rPr>
          <w:sz w:val="21"/>
          <w:szCs w:val="21"/>
        </w:rPr>
        <w:t xml:space="preserve">Nygard, M. (2011). “Documenting Architecture Decisions”.</w:t>
      </w:r>
    </w:p>
    <w:p>
      <w:pPr>
        <w:spacing w:after="80"/>
      </w:pPr>
      <w:r>
        <w:rPr>
          <w:sz w:val="21"/>
          <w:szCs w:val="21"/>
        </w:rPr>
        <w:t xml:space="preserve">Richardson, C. — “Saga” y “Transactional Outbox” (microservices.io).</w:t>
      </w:r>
    </w:p>
    <w:p>
      <w:pPr>
        <w:spacing w:after="80"/>
      </w:pPr>
      <w:r>
        <w:rPr>
          <w:sz w:val="21"/>
          <w:szCs w:val="21"/>
        </w:rPr>
        <w:t xml:space="preserve">Wiggins, A. — The Twelve-Factor App (12factor.net).</w:t>
      </w:r>
    </w:p>
    <w:p>
      <w:pPr>
        <w:spacing w:after="80"/>
      </w:pPr>
      <w:r>
        <w:rPr>
          <w:sz w:val="21"/>
          <w:szCs w:val="21"/>
        </w:rPr>
        <w:t xml:space="preserve">OWASP — Threat Modeling Cheat Sheet.  ·  OpenTelemetry — documentación.</w:t>
      </w:r>
    </w:p>
    <w:p>
      <w:pPr>
        <w:spacing w:after="110" w:line="276"/>
        <w:rPr>
          <w:i/>
          <w:iCs/>
          <w:color w:val="66747A"/>
          <w:sz w:val="19"/>
          <w:szCs w:val="19"/>
        </w:rPr>
      </w:pPr>
      <w:r>
        <w:rPr>
          <w:i/>
          <w:iCs/>
          <w:color w:val="66747A"/>
          <w:sz w:val="19"/>
          <w:szCs w:val="19"/>
        </w:rPr>
        <w:t xml:space="preserve">Los ejemplos, diagramas, decisiones y ejercicios son elaboración didáctica propia. Las decisiones de Turnify no deben leerse como recomendaciones para un sistema real sin analizar su contexto.</w:t>
      </w:r>
    </w:p>
    <w:sectPr>
      <w:headerReference w:type="first" r:id="rId7"/>
      <w:footerReference w:type="default" r:id="rId8"/>
      <w:footerReference w:type="first" r:id="rId9"/>
      <w:pgSz w:w="11906" w:h="16838" w:orient="portrait"/>
      <w:pgMar w:top="1050" w:right="1134" w:bottom="1050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CL" w:author="Claude" w:date="2026-09-24T12:00:00.000Z">
    <w:p>
      <w:r>
        <w:t xml:space="preserve">Bass, Clements y Kazman, *Software Architecture in Practice*, 4.ª ed. (2021). Verificar capítulo y que la paráfrasis sea fiel.</w:t>
      </w:r>
    </w:p>
  </w:comment>
  <w:comment w:id="1" w:initials="CL" w:author="Claude" w:date="2026-09-24T12:00:00.000Z">
    <w:p>
      <w:r>
        <w:t xml:space="preserve">Richards y Ford, *Fundamentals of Software Architecture* (2020). Verificar capítulo.</w:t>
      </w:r>
    </w:p>
  </w:comment>
  <w:comment w:id="2" w:initials="CL" w:author="Claude" w:date="2026-09-24T12:00:00.000Z">
    <w:p>
      <w:r>
        <w:t xml:space="preserve">Bass, Clements y Kazman, *Software Architecture in Practice*, 4.ª ed. (2021). Verificar capítulo y que la paráfrasis sea fiel.</w:t>
      </w:r>
    </w:p>
  </w:comment>
  <w:comment w:id="3" w:initials="CL" w:author="Claude" w:date="2026-09-24T12:00:00.000Z">
    <w:p>
      <w:r>
        <w:t xml:space="preserve">Fuente web: agregar URL y fecha de acceso.</w:t>
      </w:r>
    </w:p>
  </w:comment>
  <w:comment w:id="4" w:initials="CL" w:author="Claude" w:date="2026-09-24T12:00:00.000Z">
    <w:p>
      <w:r>
        <w:t xml:space="preserve">Fowler, M. (2015), “MonolithFirst”, martinfowler.com. Verificar y agregar URL.</w:t>
      </w:r>
    </w:p>
  </w:comment>
  <w:comment w:id="5" w:initials="CL" w:author="Claude" w:date="2026-09-24T12:00:00.000Z">
    <w:p>
      <w:r>
        <w:t xml:space="preserve">Richards y Ford, *Fundamentals of Software Architecture* (2020). Verificar capítulo.</w:t>
      </w:r>
    </w:p>
  </w:comment>
  <w:comment w:id="6" w:initials="CL" w:author="Claude" w:date="2026-09-24T12:00:00.000Z">
    <w:p>
      <w:r>
        <w:t xml:space="preserve">Artículo de 2005, alistair.cockburn.us. Verificar y agregar URL.</w:t>
      </w:r>
    </w:p>
  </w:comment>
  <w:comment w:id="7" w:initials="CL" w:author="Claude" w:date="2026-09-24T12:00:00.000Z">
    <w:p>
      <w:r>
        <w:t xml:space="preserve">O'Reilly, 2017. Verificar capítulos sobre consistencia y transacciones.</w:t>
      </w:r>
    </w:p>
  </w:comment>
  <w:comment w:id="8" w:initials="CL" w:author="Claude" w:date="2026-09-24T12:00:00.000Z">
    <w:p>
      <w:r>
        <w:t xml:space="preserve">Addison-Wesley, 2003. Verificar y sumar a la bibliografía.</w:t>
      </w:r>
    </w:p>
  </w:comment>
  <w:comment w:id="9" w:initials="CL" w:author="Claude" w:date="2026-09-24T12:00:00.000Z">
    <w:p>
      <w:r>
        <w:t xml:space="preserve">Fuente web: agregar URL y fecha de acceso.</w:t>
      </w:r>
    </w:p>
  </w:comment>
  <w:comment w:id="10" w:initials="CL" w:author="Claude" w:date="2026-09-24T12:00:00.000Z">
    <w:p>
      <w:r>
        <w:t xml:space="preserve">O'Reilly, 2016. Verificar capítulo sobre SLO.</w:t>
      </w:r>
    </w:p>
  </w:comment>
  <w:comment w:id="11" w:initials="CL" w:author="Claude" w:date="2026-09-24T12:00:00.000Z">
    <w:p>
      <w:r>
        <w:t xml:space="preserve">Wiley, 2014. Verificar; STRIDE fue creado en Microsoft.</w:t>
      </w:r>
    </w:p>
  </w:comment>
  <w:comment w:id="12" w:initials="CL" w:author="Claude" w:date="2026-09-24T12:00:00.000Z">
    <w:p>
      <w:r>
        <w:t xml:space="preserve">Artículo de 2011 (cognitect.com). Verificar y agregar URL.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FF2" w:sz="4" w:space="6"/>
      </w:pBdr>
      <w:tabs>
        <w:tab w:val="right" w:pos="9638"/>
      </w:tabs>
    </w:pPr>
    <w:r>
      <w:rPr>
        <w:color w:val="66747A"/>
        <w:sz w:val="16"/>
        <w:szCs w:val="16"/>
      </w:rPr>
      <w:t xml:space="preserve">Arquitectura · Vol. 07 · Borrador 0.1</w:t>
    </w:r>
    <w:r>
      <w:rPr>
        <w:sz w:val="16"/>
        <w:szCs w:val="16"/>
      </w:rPr>
      <w:t xml:space="preserve">	</w:t>
    </w:r>
    <w:r>
      <w:rPr>
        <w:b/>
        <w:bCs/>
        <w:color w:val="174C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174C5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74C5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mbria" w:cs="Cambria" w:eastAsia="Cambria" w:hAnsi="Cambria"/>
      <w:b/>
      <w:bCs/>
      <w:color w:val="174C5B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174C5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2cc9ded7e4e1db8ff415c0e87b36b1a90b08d4fe.png"/><Relationship Id="rId11" Type="http://schemas.openxmlformats.org/officeDocument/2006/relationships/image" Target="media/d97bcdc0f06739bca809279b12e826272bafceaf.png"/><Relationship Id="rId12" Type="http://schemas.openxmlformats.org/officeDocument/2006/relationships/image" Target="media/3fd82c0d96c43d2eaf3916c80cb2b3648014d736.png"/><Relationship Id="rId13" Type="http://schemas.openxmlformats.org/officeDocument/2006/relationships/image" Target="media/14d50c2d5e928e798132b8c56223291ea1047137.png"/><Relationship Id="rId14" Type="http://schemas.openxmlformats.org/officeDocument/2006/relationships/image" Target="media/ae06fb5c01dad302ce129b8cbc10a49d92ca023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</dc:title>
  <dc:creator>byflorgopa</dc:creator>
  <cp:lastModifiedBy>Un-named</cp:lastModifiedBy>
  <cp:revision>1</cp:revision>
  <dcterms:created xsi:type="dcterms:W3CDTF">2026-09-26T04:08:57.625Z</dcterms:created>
  <dcterms:modified xsi:type="dcterms:W3CDTF">2026-09-26T04:08:57.625Z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