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Pr="007F635A" w:rsidRDefault="007F635A">
      <w:pPr>
        <w:rPr>
          <w:b/>
          <w:color w:val="C0504D" w:themeColor="accent2"/>
        </w:rPr>
      </w:pPr>
      <w:r w:rsidRPr="007F635A">
        <w:rPr>
          <w:b/>
          <w:color w:val="C0504D" w:themeColor="accent2"/>
        </w:rPr>
        <w:t>Chapitre 3 : Alcènes</w:t>
      </w:r>
    </w:p>
    <w:p w:rsidR="007F635A" w:rsidRPr="00D92055" w:rsidRDefault="007F635A" w:rsidP="00D92055">
      <w:pPr>
        <w:pStyle w:val="Titre1"/>
      </w:pPr>
      <w:r w:rsidRPr="00D92055">
        <w:t>Généralité</w:t>
      </w:r>
    </w:p>
    <w:p w:rsidR="007F635A" w:rsidRPr="007F635A" w:rsidRDefault="007F635A" w:rsidP="007F635A">
      <w:pPr>
        <w:pStyle w:val="Titre2"/>
      </w:pPr>
      <w:r w:rsidRPr="007F635A">
        <w:t>Constitution</w:t>
      </w:r>
    </w:p>
    <w:p w:rsidR="007F635A" w:rsidRDefault="007F635A" w:rsidP="007F635A">
      <w:pPr>
        <w:rPr>
          <w:vertAlign w:val="subscript"/>
        </w:rPr>
      </w:pPr>
      <w:r>
        <w:t>Les composés acycliques possédant une double liaison entre 2 c sp</w:t>
      </w:r>
      <w:r w:rsidRPr="007F635A">
        <w:rPr>
          <w:vertAlign w:val="superscript"/>
        </w:rPr>
        <w:t>2</w:t>
      </w:r>
      <w:r>
        <w:t xml:space="preserve"> sont constitués uniquement de C et H. leur formule générale est : C</w:t>
      </w:r>
      <w:r w:rsidRPr="007F635A">
        <w:rPr>
          <w:vertAlign w:val="subscript"/>
        </w:rPr>
        <w:t>n</w:t>
      </w:r>
      <w:r>
        <w:t>H</w:t>
      </w:r>
      <w:r w:rsidRPr="007F635A">
        <w:rPr>
          <w:vertAlign w:val="subscript"/>
        </w:rPr>
        <w:t>2n</w:t>
      </w:r>
    </w:p>
    <w:p w:rsidR="007F635A" w:rsidRDefault="007F635A" w:rsidP="007F635A">
      <w:r>
        <w:t>Rappel : la combinaison des orbitales atomiques sp3=3 orbitales moléculaires sigma recouvrement latéral des 2 orbitales atomiques p restantes = 1 orbitale moléculaire Pi.</w:t>
      </w:r>
      <w:r>
        <w:br/>
      </w:r>
      <w:proofErr w:type="spellStart"/>
      <w:r>
        <w:t>cf</w:t>
      </w:r>
      <w:proofErr w:type="spellEnd"/>
      <w:r>
        <w:t xml:space="preserve"> schéma 1</w:t>
      </w:r>
    </w:p>
    <w:p w:rsidR="007F635A" w:rsidRDefault="007F635A" w:rsidP="007F635A"/>
    <w:p w:rsidR="007F635A" w:rsidRDefault="007F635A" w:rsidP="007F635A">
      <w:r>
        <w:t>La rotation selon l’axe C-C est impossible à température ambiante ce qui donne lieu à des configurations différentes (</w:t>
      </w:r>
      <w:proofErr w:type="spellStart"/>
      <w:r>
        <w:t>stéréoisomérie</w:t>
      </w:r>
      <w:proofErr w:type="spellEnd"/>
      <w:r>
        <w:t xml:space="preserve"> Z/E)</w:t>
      </w:r>
    </w:p>
    <w:p w:rsidR="007F635A" w:rsidRDefault="007F635A" w:rsidP="007F635A">
      <w:r w:rsidRPr="007F635A">
        <w:rPr>
          <w:i/>
        </w:rPr>
        <w:t>Remarque</w:t>
      </w:r>
      <w:r>
        <w:t> : la liaison sigma est très solide et la liaison pi est plus facile à rompre, la liaison pi va être responsable de la réactivité des alcènes.</w:t>
      </w:r>
    </w:p>
    <w:p w:rsidR="007F635A" w:rsidRDefault="007F635A" w:rsidP="007F635A">
      <w:pPr>
        <w:pStyle w:val="Titre2"/>
      </w:pPr>
      <w:r>
        <w:t>Propriétés physiques des alcènes</w:t>
      </w:r>
    </w:p>
    <w:p w:rsidR="007F635A" w:rsidRDefault="007F635A" w:rsidP="007F635A">
      <w:r>
        <w:t>Pression atmosphérique :</w:t>
      </w:r>
    </w:p>
    <w:p w:rsidR="007F635A" w:rsidRDefault="007F635A" w:rsidP="007F635A">
      <w:pPr>
        <w:spacing w:after="0"/>
      </w:pPr>
      <w:r>
        <w:tab/>
        <w:t>-jusqu’au C</w:t>
      </w:r>
      <w:r w:rsidRPr="007F635A">
        <w:rPr>
          <w:vertAlign w:val="subscript"/>
        </w:rPr>
        <w:t>4</w:t>
      </w:r>
      <w:r>
        <w:t xml:space="preserve"> c’est du gaz</w:t>
      </w:r>
    </w:p>
    <w:p w:rsidR="007F635A" w:rsidRDefault="007F635A" w:rsidP="007F635A">
      <w:pPr>
        <w:spacing w:after="0"/>
      </w:pPr>
      <w:r>
        <w:tab/>
        <w:t>-&gt;C</w:t>
      </w:r>
      <w:r w:rsidRPr="007F635A">
        <w:rPr>
          <w:vertAlign w:val="subscript"/>
        </w:rPr>
        <w:t>4</w:t>
      </w:r>
      <w:r>
        <w:t xml:space="preserve"> c’est liquide puis solide</w:t>
      </w:r>
    </w:p>
    <w:p w:rsidR="007F635A" w:rsidRDefault="007F635A" w:rsidP="007F635A">
      <w:pPr>
        <w:spacing w:after="0"/>
      </w:pPr>
      <w:r>
        <w:t>Bout à T°C &lt; à celle de l’alcane correspo</w:t>
      </w:r>
      <w:r w:rsidR="00D92055">
        <w:t>n</w:t>
      </w:r>
      <w:r>
        <w:t>dant</w:t>
      </w:r>
    </w:p>
    <w:p w:rsidR="007F635A" w:rsidRDefault="007F635A" w:rsidP="007F635A">
      <w:pPr>
        <w:spacing w:after="0"/>
      </w:pPr>
    </w:p>
    <w:p w:rsidR="007F635A" w:rsidRDefault="007F635A" w:rsidP="007F635A">
      <w:pPr>
        <w:spacing w:after="0"/>
      </w:pPr>
      <w:r>
        <w:t>Ils sont insolubles dans l’eau mais solubles dans les autres hydrocarbures.</w:t>
      </w:r>
    </w:p>
    <w:p w:rsidR="00D92055" w:rsidRDefault="00D92055" w:rsidP="007F635A">
      <w:pPr>
        <w:spacing w:after="0"/>
      </w:pPr>
    </w:p>
    <w:p w:rsidR="00D92055" w:rsidRDefault="00D92055" w:rsidP="00D92055">
      <w:pPr>
        <w:pStyle w:val="Titre2"/>
      </w:pPr>
      <w:r>
        <w:t>Etat naturel et utilisations</w:t>
      </w:r>
    </w:p>
    <w:p w:rsidR="00D92055" w:rsidRDefault="00D92055" w:rsidP="00D92055">
      <w:r>
        <w:t>Ils sont relativement rares dans la nature, et essentiellement présents dans le règne végétal (</w:t>
      </w:r>
      <w:proofErr w:type="spellStart"/>
      <w:r>
        <w:t>ocimène</w:t>
      </w:r>
      <w:proofErr w:type="spellEnd"/>
      <w:r>
        <w:t xml:space="preserve"> dans le basilic, </w:t>
      </w:r>
      <w:proofErr w:type="spellStart"/>
      <w:r>
        <w:t>myrcène</w:t>
      </w:r>
      <w:proofErr w:type="spellEnd"/>
      <w:r>
        <w:t xml:space="preserve"> dans le laurier) Mais la double liaison est très fréquente dans les composés naturels en association avec d’autres fonctions.</w:t>
      </w:r>
    </w:p>
    <w:p w:rsidR="00D92055" w:rsidRDefault="00D92055" w:rsidP="00D92055">
      <w:r>
        <w:t>L’utilisation des alcènes :</w:t>
      </w:r>
    </w:p>
    <w:p w:rsidR="00D92055" w:rsidRDefault="00D92055" w:rsidP="00D92055">
      <w:pPr>
        <w:spacing w:after="0"/>
      </w:pPr>
      <w:r>
        <w:tab/>
        <w:t>-production de polymères divers (caoutchoucs synthétiques, films d’emballage…)</w:t>
      </w:r>
    </w:p>
    <w:p w:rsidR="00D92055" w:rsidRDefault="00D92055" w:rsidP="00D92055">
      <w:pPr>
        <w:spacing w:after="0"/>
      </w:pPr>
      <w:r>
        <w:tab/>
        <w:t>-synthèse de nombreux composés (insecticides, agents tensioactifs, colorants</w:t>
      </w:r>
      <w:proofErr w:type="gramStart"/>
      <w:r>
        <w:t>..)</w:t>
      </w:r>
      <w:proofErr w:type="gramEnd"/>
    </w:p>
    <w:p w:rsidR="00D92055" w:rsidRDefault="00D92055" w:rsidP="00D92055">
      <w:pPr>
        <w:spacing w:after="0"/>
      </w:pPr>
      <w:r>
        <w:tab/>
        <w:t>-nombreux rôles dans les processus chimiques du vivant (synthèse du cholestérol, phéromones…)</w:t>
      </w:r>
    </w:p>
    <w:p w:rsidR="00D92055" w:rsidRDefault="00D92055" w:rsidP="00D92055">
      <w:pPr>
        <w:spacing w:after="0"/>
      </w:pPr>
    </w:p>
    <w:p w:rsidR="00D92055" w:rsidRDefault="00D92055" w:rsidP="00D92055">
      <w:pPr>
        <w:pStyle w:val="Titre1"/>
      </w:pPr>
      <w:r>
        <w:t>Nomenclature</w:t>
      </w:r>
    </w:p>
    <w:p w:rsidR="00D92055" w:rsidRDefault="00D92055" w:rsidP="00D92055">
      <w:r>
        <w:t>C’est le nom de l’alcane de même squelette carboné en remplaçant la terminaison –</w:t>
      </w:r>
      <w:proofErr w:type="spellStart"/>
      <w:r>
        <w:t>ane</w:t>
      </w:r>
      <w:proofErr w:type="spellEnd"/>
      <w:r>
        <w:t xml:space="preserve"> par la terminaison –</w:t>
      </w:r>
      <w:proofErr w:type="spellStart"/>
      <w:r>
        <w:t>ène</w:t>
      </w:r>
      <w:proofErr w:type="spellEnd"/>
      <w:r>
        <w:t>.</w:t>
      </w:r>
    </w:p>
    <w:p w:rsidR="00D92055" w:rsidRDefault="00D92055" w:rsidP="00D92055">
      <w:r>
        <w:t xml:space="preserve">Mais la chaîne carbonée principale doit être la plus longue chaîne </w:t>
      </w:r>
      <w:r w:rsidRPr="00D92055">
        <w:rPr>
          <w:i/>
        </w:rPr>
        <w:t>contenant</w:t>
      </w:r>
      <w:r>
        <w:t xml:space="preserve"> la double liaison. La position de la double liaison est repérée par un indice placé avant la terminaison –</w:t>
      </w:r>
      <w:proofErr w:type="spellStart"/>
      <w:r>
        <w:t>ène</w:t>
      </w:r>
      <w:proofErr w:type="spellEnd"/>
      <w:r>
        <w:t>. Mais la double liaison est prioritaire sur les groupements alkyles pour le choix du sens de numérotage (indice de position le plus petit possible).</w:t>
      </w:r>
    </w:p>
    <w:p w:rsidR="00D92055" w:rsidRDefault="00D92055" w:rsidP="00D92055">
      <w:r w:rsidRPr="00D92055">
        <w:rPr>
          <w:i/>
        </w:rPr>
        <w:lastRenderedPageBreak/>
        <w:t>Exemple</w:t>
      </w:r>
      <w:r>
        <w:t> 1 :</w:t>
      </w:r>
    </w:p>
    <w:p w:rsidR="00D92055" w:rsidRDefault="00D92055" w:rsidP="00D92055"/>
    <w:p w:rsidR="00D92055" w:rsidRDefault="00264969" w:rsidP="00D92055">
      <w:r w:rsidRPr="00264969">
        <w:rPr>
          <w:i/>
        </w:rPr>
        <w:t>Remarque</w:t>
      </w:r>
      <w:r>
        <w:t> : les noms courants sont toujours employés. (</w:t>
      </w:r>
      <w:proofErr w:type="spellStart"/>
      <w:r>
        <w:t>cf</w:t>
      </w:r>
      <w:proofErr w:type="spellEnd"/>
      <w:r>
        <w:t xml:space="preserve"> schéma 2)</w:t>
      </w:r>
    </w:p>
    <w:p w:rsidR="00264969" w:rsidRDefault="00264969" w:rsidP="00D92055"/>
    <w:p w:rsidR="00264969" w:rsidRDefault="008D26FF" w:rsidP="008D26FF">
      <w:pPr>
        <w:pStyle w:val="Titre1"/>
      </w:pPr>
      <w:r>
        <w:t>Préparation</w:t>
      </w:r>
    </w:p>
    <w:p w:rsidR="008D26FF" w:rsidRDefault="008D26FF" w:rsidP="008D26FF">
      <w:r>
        <w:t>Il y a deux modes principaux :</w:t>
      </w:r>
    </w:p>
    <w:p w:rsidR="008D26FF" w:rsidRDefault="008D26FF" w:rsidP="008D26FF">
      <w:pPr>
        <w:spacing w:after="0"/>
      </w:pPr>
      <w:r>
        <w:tab/>
        <w:t>-élimination sur des composés saturés (exemple : élimination d’H</w:t>
      </w:r>
      <w:r w:rsidRPr="008D26FF">
        <w:rPr>
          <w:vertAlign w:val="subscript"/>
        </w:rPr>
        <w:t>2</w:t>
      </w:r>
      <w:r>
        <w:t>O d’un alcool)</w:t>
      </w:r>
    </w:p>
    <w:p w:rsidR="008D26FF" w:rsidRDefault="008D26FF" w:rsidP="008D26FF">
      <w:pPr>
        <w:spacing w:after="0"/>
      </w:pPr>
      <w:r>
        <w:tab/>
        <w:t>-addition sur des composés moins saturés (exemple : addition d’H</w:t>
      </w:r>
      <w:r w:rsidRPr="008D26FF">
        <w:rPr>
          <w:vertAlign w:val="subscript"/>
        </w:rPr>
        <w:t>2</w:t>
      </w:r>
      <w:r>
        <w:t xml:space="preserve"> sur un alcyne)</w:t>
      </w:r>
    </w:p>
    <w:p w:rsidR="00F158E4" w:rsidRDefault="00F158E4" w:rsidP="008D26FF">
      <w:pPr>
        <w:spacing w:after="0"/>
      </w:pPr>
    </w:p>
    <w:p w:rsidR="00F158E4" w:rsidRDefault="00F158E4" w:rsidP="00F158E4">
      <w:pPr>
        <w:pStyle w:val="Titre2"/>
        <w:numPr>
          <w:ilvl w:val="0"/>
          <w:numId w:val="13"/>
        </w:numPr>
      </w:pPr>
      <w:r>
        <w:t>Élimination d'eau d'un alcool</w:t>
      </w:r>
    </w:p>
    <w:p w:rsidR="00F158E4" w:rsidRDefault="00F158E4" w:rsidP="00F158E4">
      <w:pPr>
        <w:pStyle w:val="Titre3"/>
      </w:pPr>
      <w:r>
        <w:tab/>
      </w:r>
      <w:r>
        <w:tab/>
      </w:r>
      <w:r>
        <w:t xml:space="preserve">a) </w:t>
      </w:r>
      <w:r>
        <w:t>M</w:t>
      </w:r>
      <w:r>
        <w:t>écanisme E1 (élimination d'ordre 1)</w:t>
      </w:r>
    </w:p>
    <w:p w:rsidR="00F158E4" w:rsidRDefault="00F158E4" w:rsidP="00F158E4">
      <w:pPr>
        <w:pStyle w:val="Standard"/>
      </w:pPr>
      <w:r>
        <w:t>M</w:t>
      </w:r>
      <w:r>
        <w:t>écanisme E1: élimination de cinétique d'ordre 1</w:t>
      </w:r>
    </w:p>
    <w:p w:rsidR="00F158E4" w:rsidRDefault="00F158E4" w:rsidP="00F158E4">
      <w:pPr>
        <w:pStyle w:val="Standard"/>
      </w:pPr>
      <w:proofErr w:type="spellStart"/>
      <w:r>
        <w:t>C</w:t>
      </w:r>
      <w:r>
        <w:t>f</w:t>
      </w:r>
      <w:proofErr w:type="spellEnd"/>
      <w:r>
        <w:t xml:space="preserve"> schéma 9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ab/>
        <w:t xml:space="preserve">-1ere étape: </w:t>
      </w:r>
      <w:proofErr w:type="spellStart"/>
      <w:r>
        <w:t>solvolyse</w:t>
      </w:r>
      <w:proofErr w:type="spellEnd"/>
      <w:r>
        <w:t xml:space="preserve"> lente donnant un carbocation. Il impose sa vitesse à la réaction et dépend seulement de la concentration de la molécule initiale. C'est une cinétique d'ordre 1.</w:t>
      </w:r>
    </w:p>
    <w:p w:rsidR="00F158E4" w:rsidRDefault="00F158E4" w:rsidP="00F158E4">
      <w:pPr>
        <w:pStyle w:val="Standard"/>
      </w:pPr>
      <w:r>
        <w:tab/>
        <w:t>-2ème étape: arrachement d'un proton sur le carbone voisin. Le double disponible forme une double liaison entre deux C.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proofErr w:type="gramStart"/>
      <w:r w:rsidRPr="00F158E4">
        <w:rPr>
          <w:i/>
        </w:rPr>
        <w:t>Remarques</w:t>
      </w:r>
      <w:proofErr w:type="gramEnd"/>
      <w:r>
        <w:t>:</w:t>
      </w:r>
    </w:p>
    <w:p w:rsidR="00F158E4" w:rsidRDefault="00F158E4" w:rsidP="00F158E4">
      <w:pPr>
        <w:pStyle w:val="Standard"/>
      </w:pPr>
      <w:r>
        <w:tab/>
        <w:t xml:space="preserve">-il y a une libre rotation autour de la liaison sigma du carbocation, c'est une réaction non stéréospécifique. Mais la réaction est </w:t>
      </w:r>
      <w:proofErr w:type="spellStart"/>
      <w:r>
        <w:t>régiosélective</w:t>
      </w:r>
      <w:proofErr w:type="spellEnd"/>
      <w:r>
        <w:t xml:space="preserve">. L'alcène majoritaire est prévu par la règle de </w:t>
      </w:r>
      <w:proofErr w:type="spellStart"/>
      <w:r>
        <w:t>Zaïtsev</w:t>
      </w:r>
      <w:proofErr w:type="spellEnd"/>
      <w:r>
        <w:t>: la double liaison se forme préférentiellement avec le C le plus substitué (= le moins hydrogéné) car l'alcène est plus stable de par une meilleure répartition de l'excès électronique de la double liaison.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10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3"/>
      </w:pPr>
      <w:r>
        <w:tab/>
      </w:r>
      <w:r>
        <w:tab/>
        <w:t>b) Application à la préparation des alcènes</w:t>
      </w:r>
    </w:p>
    <w:p w:rsidR="00F158E4" w:rsidRDefault="00F158E4" w:rsidP="00F158E4">
      <w:pPr>
        <w:pStyle w:val="Standard"/>
      </w:pPr>
      <w:r>
        <w:t>L</w:t>
      </w:r>
      <w:r>
        <w:t>es conditions de cette réaction sont le chauffage, la phase liquide, et la présence d'H</w:t>
      </w:r>
      <w:r>
        <w:rPr>
          <w:vertAlign w:val="superscript"/>
        </w:rPr>
        <w:t>+</w:t>
      </w:r>
      <w:r>
        <w:t xml:space="preserve">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ou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).</w:t>
      </w:r>
    </w:p>
    <w:p w:rsidR="00F158E4" w:rsidRDefault="00F158E4" w:rsidP="00F158E4">
      <w:pPr>
        <w:pStyle w:val="Standard"/>
      </w:pPr>
      <w:r>
        <w:tab/>
        <w:t xml:space="preserve">-1ère étape: </w:t>
      </w:r>
      <w:proofErr w:type="spellStart"/>
      <w:r>
        <w:t>protonation</w:t>
      </w:r>
      <w:proofErr w:type="spellEnd"/>
      <w:r>
        <w:t xml:space="preserve"> de l'alcool et l'élimination d'H</w:t>
      </w:r>
      <w:r>
        <w:rPr>
          <w:vertAlign w:val="subscript"/>
        </w:rPr>
        <w:t>2</w:t>
      </w:r>
      <w:r>
        <w:t>O pour donner un carbocation (=</w:t>
      </w:r>
      <w:proofErr w:type="spellStart"/>
      <w:r>
        <w:t>solvolyse</w:t>
      </w:r>
      <w:proofErr w:type="spellEnd"/>
      <w:r>
        <w:t xml:space="preserve"> lente)</w:t>
      </w:r>
    </w:p>
    <w:p w:rsidR="00F158E4" w:rsidRDefault="00F158E4" w:rsidP="00F158E4">
      <w:pPr>
        <w:pStyle w:val="Standard"/>
      </w:pPr>
      <w:proofErr w:type="spellStart"/>
      <w:r>
        <w:t>C</w:t>
      </w:r>
      <w:r>
        <w:t>f</w:t>
      </w:r>
      <w:proofErr w:type="spellEnd"/>
      <w:r>
        <w:t xml:space="preserve"> schéma 11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ab/>
        <w:t>-2ème étape : arrachement d'un proton sur le C voisin du C</w:t>
      </w:r>
      <w:r>
        <w:rPr>
          <w:vertAlign w:val="subscript"/>
        </w:rPr>
        <w:t>+</w:t>
      </w:r>
      <w:r>
        <w:t xml:space="preserve"> pour former la double liaison.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12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2"/>
      </w:pPr>
      <w:r>
        <w:t>Addition sur un alcyne</w:t>
      </w:r>
    </w:p>
    <w:p w:rsidR="00F158E4" w:rsidRDefault="00F158E4" w:rsidP="00F158E4">
      <w:pPr>
        <w:pStyle w:val="Standard"/>
      </w:pPr>
      <w:proofErr w:type="gramStart"/>
      <w:r>
        <w:t>la</w:t>
      </w:r>
      <w:proofErr w:type="gramEnd"/>
      <w:r>
        <w:t xml:space="preserve"> difficulté est d'éviter la fixation d'un deuxième H</w:t>
      </w:r>
      <w:r>
        <w:rPr>
          <w:vertAlign w:val="subscript"/>
        </w:rPr>
        <w:t>2</w:t>
      </w:r>
      <w:r>
        <w:t xml:space="preserve"> qui donnerait un alcane. On utilise donc un catalyseur peu actif tel que le palladium « désactivé ».</w:t>
      </w:r>
    </w:p>
    <w:p w:rsidR="00F158E4" w:rsidRDefault="00F158E4" w:rsidP="00F158E4">
      <w:pPr>
        <w:pStyle w:val="Standard"/>
      </w:pPr>
      <w:proofErr w:type="spellStart"/>
      <w:r>
        <w:lastRenderedPageBreak/>
        <w:t>cf</w:t>
      </w:r>
      <w:proofErr w:type="spellEnd"/>
      <w:r>
        <w:t xml:space="preserve"> schéma 13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1"/>
      </w:pPr>
      <w:r>
        <w:t>Réactivité</w:t>
      </w:r>
    </w:p>
    <w:p w:rsidR="00F158E4" w:rsidRPr="00F158E4" w:rsidRDefault="00F158E4" w:rsidP="00F158E4">
      <w:pPr>
        <w:pStyle w:val="Titre2"/>
        <w:numPr>
          <w:ilvl w:val="0"/>
          <w:numId w:val="0"/>
        </w:numPr>
        <w:ind w:left="708"/>
      </w:pPr>
      <w:r>
        <w:t xml:space="preserve">1) </w:t>
      </w:r>
      <w:r>
        <w:t xml:space="preserve"> Généralités</w:t>
      </w:r>
      <w:r>
        <w:br/>
      </w:r>
    </w:p>
    <w:p w:rsidR="00F158E4" w:rsidRDefault="00F158E4" w:rsidP="00F158E4">
      <w:pPr>
        <w:pStyle w:val="Standard"/>
      </w:pPr>
      <w:r>
        <w:t>L</w:t>
      </w:r>
      <w:r>
        <w:t>a réactivité est liée à la présence de  double(s) liaison(s):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ab/>
        <w:t>-liaison pi plus facile à rompre que la liaison sigma. Il y a possibilité d'addition par « ouverture » de la liaison pi.</w:t>
      </w:r>
    </w:p>
    <w:p w:rsidR="00F158E4" w:rsidRDefault="00F158E4" w:rsidP="00F158E4">
      <w:pPr>
        <w:pStyle w:val="Standard"/>
      </w:pPr>
      <w:r>
        <w:tab/>
        <w:t>-la double liaison correspond à une forte densité électronique avec des électrons plus accessibles donc il y a possibilité d'attaques par des réactifs électrophiles, ce sont des additions électrophiles (A</w:t>
      </w:r>
      <w:r>
        <w:rPr>
          <w:vertAlign w:val="subscript"/>
        </w:rPr>
        <w:t>E</w:t>
      </w:r>
      <w:r>
        <w:t>)</w:t>
      </w:r>
    </w:p>
    <w:p w:rsidR="00F158E4" w:rsidRDefault="00F158E4" w:rsidP="00F158E4">
      <w:pPr>
        <w:pStyle w:val="Standard"/>
      </w:pPr>
      <w:r>
        <w:tab/>
        <w:t>-la double liaison correspond à des points vulnérables, il y a donc possibilité de coupure notamment par certains oxydants.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2"/>
        <w:numPr>
          <w:ilvl w:val="0"/>
          <w:numId w:val="14"/>
        </w:numPr>
      </w:pPr>
      <w:r>
        <w:t>Additions</w:t>
      </w:r>
    </w:p>
    <w:p w:rsidR="00F158E4" w:rsidRDefault="00F158E4" w:rsidP="00F158E4">
      <w:pPr>
        <w:pStyle w:val="Titre3"/>
        <w:ind w:left="360" w:firstLine="708"/>
      </w:pPr>
      <w:r>
        <w:t>a) A</w:t>
      </w:r>
      <w:r>
        <w:t>ddition d'hydrogène</w:t>
      </w:r>
    </w:p>
    <w:p w:rsidR="00F158E4" w:rsidRDefault="00F158E4" w:rsidP="00F158E4">
      <w:pPr>
        <w:pStyle w:val="Standard"/>
      </w:pPr>
      <w:proofErr w:type="spellStart"/>
      <w:r>
        <w:t>C</w:t>
      </w:r>
      <w:r>
        <w:t>f</w:t>
      </w:r>
      <w:proofErr w:type="spellEnd"/>
      <w:r>
        <w:t xml:space="preserve"> schéma 15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 xml:space="preserve">Remarque: elle nécessite l'emploi de catalyseurs sur lesquels les alcènes se « fixent ». </w:t>
      </w:r>
      <w:proofErr w:type="gramStart"/>
      <w:r>
        <w:t>les</w:t>
      </w:r>
      <w:proofErr w:type="gramEnd"/>
      <w:r>
        <w:t xml:space="preserve"> deux H attaquent l'alcène du même côté, la réaction est stéréospécifique = cis-addition.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>La réaction est employée pour transformer les huiles végétales en graisses comestibles (margarines).</w:t>
      </w:r>
    </w:p>
    <w:p w:rsidR="00F158E4" w:rsidRDefault="00F158E4" w:rsidP="00F158E4">
      <w:pPr>
        <w:pStyle w:val="Standard"/>
      </w:pPr>
    </w:p>
    <w:p w:rsidR="00F158E4" w:rsidRPr="00F158E4" w:rsidRDefault="00F158E4" w:rsidP="00F158E4">
      <w:pPr>
        <w:pStyle w:val="Titre3"/>
      </w:pPr>
      <w:r>
        <w:tab/>
      </w:r>
      <w:r>
        <w:tab/>
      </w:r>
      <w:r>
        <w:t>b) Additions électrophiles (A</w:t>
      </w:r>
      <w:r>
        <w:rPr>
          <w:vertAlign w:val="subscript"/>
        </w:rPr>
        <w:t>E</w:t>
      </w:r>
      <w:r>
        <w:t>)</w:t>
      </w:r>
      <w:r>
        <w:br/>
      </w:r>
    </w:p>
    <w:p w:rsidR="00F158E4" w:rsidRDefault="00F158E4" w:rsidP="00F158E4">
      <w:pPr>
        <w:pStyle w:val="Standard"/>
        <w:numPr>
          <w:ilvl w:val="0"/>
          <w:numId w:val="8"/>
        </w:numPr>
      </w:pPr>
      <w:r>
        <w:t>Mécanisme</w:t>
      </w:r>
    </w:p>
    <w:p w:rsidR="00F158E4" w:rsidRDefault="00F158E4" w:rsidP="00F158E4">
      <w:pPr>
        <w:pStyle w:val="Standard"/>
      </w:pPr>
      <w:r>
        <w:tab/>
        <w:t>-1ère étape: attaque d'un électrophile par les électrons pi de la double liaison pour former un carbocation qui existe sous deux formes.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16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ab/>
        <w:t>-2ème étape: fixation d'un nucléophile sur le carbocation grâce au doublet libre dont il dispose.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17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  <w:numPr>
          <w:ilvl w:val="0"/>
          <w:numId w:val="9"/>
        </w:numPr>
      </w:pPr>
      <w:r>
        <w:t>Addition d'hydracides halogénés (un acide qui porte un halogène et un hydrogène)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  <w:ind w:firstLine="708"/>
      </w:pPr>
      <w:r>
        <w:t xml:space="preserve">C'est l'addition du composé </w:t>
      </w:r>
      <w:proofErr w:type="spellStart"/>
      <w:r>
        <w:t>hétéroatomique</w:t>
      </w:r>
      <w:proofErr w:type="spellEnd"/>
      <w:r>
        <w:t xml:space="preserve"> qui doit donner le carbocation le plus stable possible. Si l'alcène est dissymétrique avec des groupes donneurs alors le proton électrophile se fixe préférentiellement sur le C le moins substitué (= le plus hydrogéné). Cela </w:t>
      </w:r>
      <w:r>
        <w:lastRenderedPageBreak/>
        <w:t xml:space="preserve">correspond à la règle de </w:t>
      </w:r>
      <w:proofErr w:type="spellStart"/>
      <w:r>
        <w:t>Markownikov</w:t>
      </w:r>
      <w:proofErr w:type="spellEnd"/>
      <w:r>
        <w:t>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18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 xml:space="preserve">Le carbocation (a) est stabilisé par des effets donneurs, il est plus stable que le carbocation (a'), il se forme préférentiellement, c'est une réaction </w:t>
      </w:r>
      <w:proofErr w:type="spellStart"/>
      <w:r>
        <w:t>régiosélective</w:t>
      </w:r>
      <w:proofErr w:type="spellEnd"/>
      <w:r>
        <w:t>.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>Si l'alcène est dissymétrique avec des groupes attracteurs alors le proton électrophile se fixe préférentiellement sur le C proche des groupes attracteurs.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19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>Le</w:t>
      </w:r>
      <w:r>
        <w:t xml:space="preserve"> carbocation (a') est moins déstabilisé par les effets attracteurs, i</w:t>
      </w:r>
      <w:r>
        <w:t xml:space="preserve">l </w:t>
      </w:r>
      <w:r>
        <w:t xml:space="preserve">est plus stable que le carbocation (a). </w:t>
      </w:r>
      <w:proofErr w:type="gramStart"/>
      <w:r>
        <w:t>il</w:t>
      </w:r>
      <w:proofErr w:type="gramEnd"/>
      <w:r>
        <w:t xml:space="preserve"> se forme préférentiellement. C'est une réaction </w:t>
      </w:r>
      <w:proofErr w:type="spellStart"/>
      <w:r>
        <w:t>régiosélective</w:t>
      </w:r>
      <w:proofErr w:type="spellEnd"/>
      <w:r>
        <w:t>.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  <w:numPr>
          <w:ilvl w:val="0"/>
          <w:numId w:val="10"/>
        </w:numPr>
      </w:pPr>
      <w:r>
        <w:t>Addition d'halogènes</w:t>
      </w:r>
    </w:p>
    <w:p w:rsidR="00F158E4" w:rsidRDefault="00F158E4" w:rsidP="00F158E4">
      <w:pPr>
        <w:pStyle w:val="Standard"/>
      </w:pPr>
      <w:r>
        <w:t xml:space="preserve">Cela correspond à l'addition sur une molécule symétrique: c'est la fixation de part et d'autre du plan de la double liaison. C'est la </w:t>
      </w:r>
      <w:proofErr w:type="spellStart"/>
      <w:r>
        <w:t>trans</w:t>
      </w:r>
      <w:proofErr w:type="spellEnd"/>
      <w:r>
        <w:t>-addition.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schéma 20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  <w:r>
        <w:t>L</w:t>
      </w:r>
      <w:r>
        <w:t>'attaque équiprobable sur les deux C correspond à un mélange racémique.</w:t>
      </w:r>
    </w:p>
    <w:p w:rsidR="00F158E4" w:rsidRDefault="00F158E4" w:rsidP="00F158E4">
      <w:pPr>
        <w:pStyle w:val="Standard"/>
      </w:pPr>
      <w:proofErr w:type="spellStart"/>
      <w:r>
        <w:t>Cf</w:t>
      </w:r>
      <w:proofErr w:type="spellEnd"/>
      <w:r>
        <w:t xml:space="preserve"> exemple 3 (</w:t>
      </w:r>
      <w:proofErr w:type="spellStart"/>
      <w:r>
        <w:t>cf</w:t>
      </w:r>
      <w:proofErr w:type="spellEnd"/>
      <w:r>
        <w:t xml:space="preserve"> poly même exemple)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2"/>
      </w:pPr>
      <w:r>
        <w:t>Polymérisations</w:t>
      </w:r>
    </w:p>
    <w:p w:rsidR="00F158E4" w:rsidRDefault="00F158E4" w:rsidP="00F158E4">
      <w:pPr>
        <w:pStyle w:val="Titre3"/>
      </w:pPr>
      <w:r>
        <w:tab/>
      </w:r>
      <w:r>
        <w:tab/>
      </w:r>
      <w:r>
        <w:tab/>
        <w:t>a) Généralités</w:t>
      </w:r>
    </w:p>
    <w:p w:rsidR="00F158E4" w:rsidRDefault="00F158E4" w:rsidP="00F158E4">
      <w:pPr>
        <w:pStyle w:val="Standard"/>
      </w:pPr>
      <w:r>
        <w:t>C'est une réaction en chaîne d'un grand intérêt économique qui permet la fabrication de nombreux matériaux (plastiques ou films d'emballage...)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3"/>
      </w:pPr>
      <w:r>
        <w:tab/>
      </w:r>
      <w:r>
        <w:tab/>
      </w:r>
      <w:r>
        <w:tab/>
        <w:t>b) polymérisation radicalaire</w:t>
      </w:r>
    </w:p>
    <w:p w:rsidR="00F158E4" w:rsidRDefault="00F158E4" w:rsidP="00F158E4">
      <w:pPr>
        <w:pStyle w:val="Standard"/>
      </w:pPr>
      <w:r>
        <w:t>C</w:t>
      </w:r>
      <w:r>
        <w:t>'est un mécanisme en 3 phases:(</w:t>
      </w:r>
      <w:proofErr w:type="spellStart"/>
      <w:r>
        <w:t>cf</w:t>
      </w:r>
      <w:proofErr w:type="spellEnd"/>
      <w:r>
        <w:t xml:space="preserve"> poly)</w:t>
      </w:r>
    </w:p>
    <w:p w:rsidR="00F158E4" w:rsidRDefault="00F158E4" w:rsidP="00F158E4">
      <w:pPr>
        <w:pStyle w:val="Standard"/>
      </w:pPr>
    </w:p>
    <w:p w:rsidR="00F158E4" w:rsidRDefault="00F158E4" w:rsidP="00F158E4">
      <w:pPr>
        <w:pStyle w:val="Titre3"/>
        <w:ind w:left="1416" w:firstLine="708"/>
      </w:pPr>
      <w:r>
        <w:t>c) P</w:t>
      </w:r>
      <w:bookmarkStart w:id="0" w:name="_GoBack"/>
      <w:bookmarkEnd w:id="0"/>
      <w:r>
        <w:t>olymérisation cationique</w:t>
      </w:r>
    </w:p>
    <w:p w:rsidR="00F158E4" w:rsidRDefault="00F158E4" w:rsidP="00F158E4">
      <w:pPr>
        <w:pStyle w:val="Standard"/>
      </w:pPr>
      <w:r>
        <w:t>(</w:t>
      </w:r>
      <w:proofErr w:type="spellStart"/>
      <w:r>
        <w:t>cf</w:t>
      </w:r>
      <w:proofErr w:type="spellEnd"/>
      <w:r>
        <w:t xml:space="preserve"> poly)</w:t>
      </w:r>
    </w:p>
    <w:p w:rsidR="00F158E4" w:rsidRPr="008D26FF" w:rsidRDefault="00F158E4" w:rsidP="008D26FF">
      <w:pPr>
        <w:spacing w:after="0"/>
      </w:pPr>
    </w:p>
    <w:sectPr w:rsidR="00F158E4" w:rsidRPr="008D2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51E2"/>
    <w:multiLevelType w:val="multilevel"/>
    <w:tmpl w:val="2EA4954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4"/>
      <w:numFmt w:val="decimal"/>
      <w:lvlText w:val="%5)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0BDE7102"/>
    <w:multiLevelType w:val="multilevel"/>
    <w:tmpl w:val="5882C6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00"/>
      <w:numFmt w:val="lowerRoman"/>
      <w:lvlText w:val="%7)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>
    <w:nsid w:val="16114B17"/>
    <w:multiLevelType w:val="multilevel"/>
    <w:tmpl w:val="0CA8C3A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>
    <w:nsid w:val="1DE636F1"/>
    <w:multiLevelType w:val="multilevel"/>
    <w:tmpl w:val="048CAF2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2960760D"/>
    <w:multiLevelType w:val="multilevel"/>
    <w:tmpl w:val="34C4C94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2E9678C8"/>
    <w:multiLevelType w:val="multilevel"/>
    <w:tmpl w:val="A2A8B3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2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433A4A48"/>
    <w:multiLevelType w:val="hybridMultilevel"/>
    <w:tmpl w:val="3FB68838"/>
    <w:lvl w:ilvl="0" w:tplc="EEEC7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57DC6"/>
    <w:multiLevelType w:val="hybridMultilevel"/>
    <w:tmpl w:val="5FEC38C8"/>
    <w:lvl w:ilvl="0" w:tplc="BDD667B0">
      <w:start w:val="1"/>
      <w:numFmt w:val="decimal"/>
      <w:pStyle w:val="Titre2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1C368CE"/>
    <w:multiLevelType w:val="multilevel"/>
    <w:tmpl w:val="09821D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3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9">
    <w:nsid w:val="640157A0"/>
    <w:multiLevelType w:val="hybridMultilevel"/>
    <w:tmpl w:val="A56806A0"/>
    <w:lvl w:ilvl="0" w:tplc="A1D4C3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6D8141A"/>
    <w:multiLevelType w:val="multilevel"/>
    <w:tmpl w:val="9E84C7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2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1">
    <w:nsid w:val="7F5772C0"/>
    <w:multiLevelType w:val="hybridMultilevel"/>
    <w:tmpl w:val="08DA0480"/>
    <w:lvl w:ilvl="0" w:tplc="088C4E08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00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5A"/>
    <w:rsid w:val="00264969"/>
    <w:rsid w:val="007973CE"/>
    <w:rsid w:val="007B7D3D"/>
    <w:rsid w:val="007F635A"/>
    <w:rsid w:val="008D26FF"/>
    <w:rsid w:val="009A2F3B"/>
    <w:rsid w:val="00D92055"/>
    <w:rsid w:val="00F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055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35A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3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055"/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F635A"/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paragraph" w:customStyle="1" w:styleId="Standard">
    <w:name w:val="Standard"/>
    <w:rsid w:val="00F158E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158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055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35A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3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055"/>
    <w:rPr>
      <w:rFonts w:asciiTheme="majorHAnsi" w:eastAsiaTheme="majorEastAsia" w:hAnsiTheme="majorHAnsi" w:cstheme="majorBidi"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F635A"/>
    <w:rPr>
      <w:rFonts w:asciiTheme="majorHAnsi" w:eastAsiaTheme="majorEastAsia" w:hAnsiTheme="majorHAnsi" w:cstheme="majorBidi"/>
      <w:bCs/>
      <w:i/>
      <w:color w:val="943634" w:themeColor="accent2" w:themeShade="BF"/>
    </w:rPr>
  </w:style>
  <w:style w:type="paragraph" w:customStyle="1" w:styleId="Standard">
    <w:name w:val="Standard"/>
    <w:rsid w:val="00F158E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158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Marika</dc:creator>
  <cp:lastModifiedBy>Marika</cp:lastModifiedBy>
  <cp:revision>4</cp:revision>
  <dcterms:created xsi:type="dcterms:W3CDTF">2011-03-15T08:18:00Z</dcterms:created>
  <dcterms:modified xsi:type="dcterms:W3CDTF">2011-04-14T08:25:00Z</dcterms:modified>
</cp:coreProperties>
</file>