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2B" w:rsidRDefault="006119A9" w:rsidP="002A5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Chapitre 11 : Les acides carboxyliques </w:t>
      </w:r>
    </w:p>
    <w:p w:rsidR="006119A9" w:rsidRPr="002A509F" w:rsidRDefault="006119A9" w:rsidP="002A509F">
      <w:pPr>
        <w:pStyle w:val="Titre1"/>
        <w:rPr>
          <w:color w:val="948A54" w:themeColor="background2" w:themeShade="80"/>
        </w:rPr>
      </w:pPr>
      <w:r w:rsidRPr="002A509F">
        <w:rPr>
          <w:color w:val="948A54" w:themeColor="background2" w:themeShade="80"/>
        </w:rPr>
        <w:t>Généralité</w:t>
      </w:r>
    </w:p>
    <w:p w:rsidR="006119A9" w:rsidRPr="002A509F" w:rsidRDefault="006119A9" w:rsidP="002A509F">
      <w:pPr>
        <w:pStyle w:val="Titre2"/>
      </w:pPr>
      <w:r w:rsidRPr="002A509F">
        <w:t>Constitution</w:t>
      </w:r>
    </w:p>
    <w:p w:rsidR="006119A9" w:rsidRDefault="006119A9" w:rsidP="006119A9">
      <w:r>
        <w:t>Ce sont des composés possédant un groupement carboxylique « COOH ». Il</w:t>
      </w:r>
      <w:r w:rsidR="002A509F">
        <w:t>s</w:t>
      </w:r>
      <w:r>
        <w:t xml:space="preserve"> répondent à la formule générale suivante : R-COOH</w:t>
      </w:r>
    </w:p>
    <w:p w:rsidR="006119A9" w:rsidRDefault="006119A9" w:rsidP="006119A9">
      <w:r>
        <w:t>Exemple : CH3-COOH</w:t>
      </w:r>
    </w:p>
    <w:p w:rsidR="006119A9" w:rsidRDefault="006119A9" w:rsidP="002A509F">
      <w:pPr>
        <w:pStyle w:val="Titre2"/>
      </w:pPr>
      <w:r>
        <w:t>Propriétés physiques</w:t>
      </w:r>
    </w:p>
    <w:p w:rsidR="006119A9" w:rsidRDefault="006119A9" w:rsidP="006119A9">
      <w:r>
        <w:t>A la pression atmosphérique : ils sont liquides jusqu’au C10 et sont solides au-delà du C10. Les points d’ébullition des acides carboxyliques sont inférieurs aux points d’ébullition de tous les composés monofonctionnels car ils établissent entre eux des liaisons H (plus fortes que celles établies par les alcools). Les acides carboxyliques se présentent en grande partie sous forme d’un dimère cyclique.</w:t>
      </w:r>
    </w:p>
    <w:p w:rsidR="006119A9" w:rsidRDefault="006119A9" w:rsidP="006119A9">
      <w:r>
        <w:t>(</w:t>
      </w:r>
      <w:proofErr w:type="spellStart"/>
      <w:r>
        <w:t>cf</w:t>
      </w:r>
      <w:proofErr w:type="spellEnd"/>
      <w:r>
        <w:t xml:space="preserve"> schéma 1)</w:t>
      </w:r>
    </w:p>
    <w:p w:rsidR="00285D81" w:rsidRDefault="00285D81" w:rsidP="006119A9"/>
    <w:p w:rsidR="00285D81" w:rsidRDefault="00285D81" w:rsidP="006119A9">
      <w:r>
        <w:t xml:space="preserve">Du fiat des liaisons </w:t>
      </w:r>
      <w:proofErr w:type="gramStart"/>
      <w:r>
        <w:t>hydrogènes</w:t>
      </w:r>
      <w:proofErr w:type="gramEnd"/>
      <w:r>
        <w:t xml:space="preserve"> ils sont solubles dans l’eau jusqu’au C9.</w:t>
      </w:r>
    </w:p>
    <w:p w:rsidR="00285D81" w:rsidRDefault="00285D81" w:rsidP="006119A9"/>
    <w:p w:rsidR="00285D81" w:rsidRDefault="00285D81" w:rsidP="002A509F">
      <w:pPr>
        <w:pStyle w:val="Titre2"/>
      </w:pPr>
      <w:r>
        <w:t>Etat naturel et utilisations</w:t>
      </w:r>
    </w:p>
    <w:p w:rsidR="00285D81" w:rsidRDefault="00285D81" w:rsidP="00285D81">
      <w:r>
        <w:t>Ils existent à l’état naturel dans les lipides, sous forme d’acide lactique (lait, muscle) ou citrique (citron) et donc les acides aminés. Il y a de nombreuses utilisations. Les plus importantes sont les acides acétiques (vinaigre, solvants) et acides acrylique (textiles).</w:t>
      </w:r>
    </w:p>
    <w:p w:rsidR="00285D81" w:rsidRDefault="00285D81" w:rsidP="002A509F">
      <w:pPr>
        <w:pStyle w:val="Titre1"/>
        <w:rPr>
          <w:color w:val="948A54" w:themeColor="background2" w:themeShade="80"/>
        </w:rPr>
      </w:pPr>
      <w:r>
        <w:rPr>
          <w:color w:val="948A54" w:themeColor="background2" w:themeShade="80"/>
        </w:rPr>
        <w:t>Nomenclature</w:t>
      </w:r>
    </w:p>
    <w:p w:rsidR="00285D81" w:rsidRDefault="00E32B88" w:rsidP="00285D81">
      <w:r>
        <w:t>C’est le nom de l’alcane possédant le même squelette carboné en ajoutant la terminaison « </w:t>
      </w:r>
      <w:proofErr w:type="spellStart"/>
      <w:r>
        <w:t>oïque</w:t>
      </w:r>
      <w:proofErr w:type="spellEnd"/>
      <w:r>
        <w:t> » précédée éventuellement des préfixes multiplicateurs di, tri, tétra, penta</w:t>
      </w:r>
      <w:proofErr w:type="gramStart"/>
      <w:r>
        <w:t>..</w:t>
      </w:r>
      <w:proofErr w:type="gramEnd"/>
      <w:r>
        <w:t xml:space="preserve">  </w:t>
      </w:r>
      <w:proofErr w:type="gramStart"/>
      <w:r>
        <w:t>et</w:t>
      </w:r>
      <w:proofErr w:type="gramEnd"/>
      <w:r>
        <w:t xml:space="preserve"> de leurs indices de position et en le faisant précéder du mot acide.</w:t>
      </w:r>
    </w:p>
    <w:p w:rsidR="00E32B88" w:rsidRDefault="00E32B88" w:rsidP="00285D81">
      <w:r w:rsidRPr="00E32B88">
        <w:rPr>
          <w:i/>
        </w:rPr>
        <w:t>Exemples</w:t>
      </w:r>
      <w:r>
        <w:t> 1 :</w:t>
      </w:r>
    </w:p>
    <w:p w:rsidR="00E32B88" w:rsidRDefault="00E32B88" w:rsidP="00285D81"/>
    <w:p w:rsidR="00E32B88" w:rsidRDefault="00E32B88" w:rsidP="00285D81">
      <w:r>
        <w:t xml:space="preserve">Remarque : les noms courants toujours employés </w:t>
      </w:r>
    </w:p>
    <w:p w:rsidR="00E32B88" w:rsidRDefault="00E32B88" w:rsidP="00285D81">
      <w:r>
        <w:t>(</w:t>
      </w:r>
      <w:proofErr w:type="spellStart"/>
      <w:r>
        <w:t>cf</w:t>
      </w:r>
      <w:proofErr w:type="spellEnd"/>
      <w:r>
        <w:t xml:space="preserve"> schéma 2)</w:t>
      </w:r>
    </w:p>
    <w:p w:rsidR="00E32B88" w:rsidRDefault="00E32B88" w:rsidP="002A509F">
      <w:pPr>
        <w:pStyle w:val="Titre1"/>
        <w:rPr>
          <w:color w:val="948A54" w:themeColor="background2" w:themeShade="80"/>
        </w:rPr>
      </w:pPr>
      <w:r>
        <w:rPr>
          <w:color w:val="948A54" w:themeColor="background2" w:themeShade="80"/>
        </w:rPr>
        <w:t>Préparation</w:t>
      </w:r>
    </w:p>
    <w:p w:rsidR="00E32B88" w:rsidRDefault="00E32B88" w:rsidP="00E32B88">
      <w:r>
        <w:t>Il y a plusieurs méthodes de préparation des acides carboxylique (déjà vu : addiction nucléophile d’un organomagnésien sur un déviré halogéné (chapitre 7)). Il est possible d’oxyder des fonctions alcènes, des aldéhydes et cétones par un oxydant fort (KMnO4, K2 CR2O7).</w:t>
      </w:r>
    </w:p>
    <w:p w:rsidR="00E32B88" w:rsidRDefault="00E32B88" w:rsidP="00E32B88">
      <w:r>
        <w:t>(</w:t>
      </w:r>
      <w:proofErr w:type="spellStart"/>
      <w:r>
        <w:t>cf</w:t>
      </w:r>
      <w:proofErr w:type="spellEnd"/>
      <w:r>
        <w:t xml:space="preserve"> schéma 3)</w:t>
      </w:r>
    </w:p>
    <w:p w:rsidR="00E32B88" w:rsidRDefault="00E32B88" w:rsidP="002A509F">
      <w:pPr>
        <w:pStyle w:val="Titre1"/>
        <w:rPr>
          <w:color w:val="948A54" w:themeColor="background2" w:themeShade="80"/>
        </w:rPr>
      </w:pPr>
      <w:r>
        <w:rPr>
          <w:color w:val="948A54" w:themeColor="background2" w:themeShade="80"/>
        </w:rPr>
        <w:lastRenderedPageBreak/>
        <w:t>Réactivité</w:t>
      </w:r>
    </w:p>
    <w:p w:rsidR="00E32B88" w:rsidRDefault="002A509F" w:rsidP="002A509F">
      <w:pPr>
        <w:pStyle w:val="Titre2"/>
        <w:numPr>
          <w:ilvl w:val="0"/>
          <w:numId w:val="0"/>
        </w:numPr>
        <w:ind w:left="1416"/>
      </w:pPr>
      <w:r>
        <w:t xml:space="preserve">1. </w:t>
      </w:r>
      <w:r w:rsidR="00E32B88">
        <w:t>Généralités</w:t>
      </w:r>
    </w:p>
    <w:p w:rsidR="00E32B88" w:rsidRDefault="00E32B88" w:rsidP="00E32B88">
      <w:r>
        <w:t>La réactivité des acides carboxyliques liée à deux éléments :</w:t>
      </w:r>
    </w:p>
    <w:p w:rsidR="00E32B88" w:rsidRDefault="00E32B88" w:rsidP="00E32B88">
      <w:r>
        <w:tab/>
        <w:t xml:space="preserve">-labilité de l’H du groupe OH (due à l’effet inductif attracteur des 2 O et à la stabilisation par résonance de l’ion carboxylate). </w:t>
      </w:r>
      <w:r w:rsidR="00994CB8">
        <w:t xml:space="preserve"> </w:t>
      </w:r>
    </w:p>
    <w:p w:rsidR="00994CB8" w:rsidRDefault="00994CB8" w:rsidP="00E32B88"/>
    <w:p w:rsidR="00994CB8" w:rsidRDefault="00994CB8" w:rsidP="00E32B88"/>
    <w:p w:rsidR="00994CB8" w:rsidRDefault="00994CB8" w:rsidP="00994CB8">
      <w:r>
        <w:tab/>
        <w:t>-polarisation de la liaison C=O (due à la forte électronégativité de O). Possibilité de substituions nucléophiles.</w:t>
      </w:r>
    </w:p>
    <w:p w:rsidR="00994CB8" w:rsidRDefault="002A509F" w:rsidP="002A509F">
      <w:pPr>
        <w:pStyle w:val="Titre2"/>
        <w:numPr>
          <w:ilvl w:val="0"/>
          <w:numId w:val="0"/>
        </w:numPr>
        <w:ind w:left="1416"/>
      </w:pPr>
      <w:r>
        <w:t>2.</w:t>
      </w:r>
      <w:r w:rsidR="008C5AE8">
        <w:t xml:space="preserve"> Substitutions nucléophiles</w:t>
      </w:r>
    </w:p>
    <w:p w:rsidR="008C5AE8" w:rsidRDefault="008C5AE8" w:rsidP="00994CB8">
      <w:r>
        <w:t xml:space="preserve">La </w:t>
      </w:r>
      <w:proofErr w:type="spellStart"/>
      <w:r w:rsidR="002A509F">
        <w:t>protonation</w:t>
      </w:r>
      <w:proofErr w:type="spellEnd"/>
      <w:r w:rsidR="002A509F">
        <w:t xml:space="preserve"> par un acide fort (</w:t>
      </w:r>
      <w:bookmarkStart w:id="0" w:name="_GoBack"/>
      <w:bookmarkEnd w:id="0"/>
      <w:r>
        <w:t>ex : H4SO4) provoque l’augmentation du déficit électronique du C fonctionnel, puis la substitution nucléophile d’un groupement hydroxyle (OH) par un ion alcoolate (RO-) (réaction plus connue sous le nom d’ « estérification »).</w:t>
      </w:r>
    </w:p>
    <w:p w:rsidR="00994CB8" w:rsidRDefault="00994CB8" w:rsidP="00E32B88"/>
    <w:p w:rsidR="00E32B88" w:rsidRDefault="00E32B88" w:rsidP="00E32B88"/>
    <w:p w:rsidR="00285D81" w:rsidRDefault="00285D81" w:rsidP="006119A9"/>
    <w:p w:rsidR="00285D81" w:rsidRDefault="00285D81" w:rsidP="006119A9"/>
    <w:sectPr w:rsidR="00285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964"/>
    <w:multiLevelType w:val="hybridMultilevel"/>
    <w:tmpl w:val="EBD29C2E"/>
    <w:lvl w:ilvl="0" w:tplc="3FDA0756">
      <w:start w:val="1"/>
      <w:numFmt w:val="upperRoman"/>
      <w:pStyle w:val="Titre1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E503C6"/>
    <w:multiLevelType w:val="hybridMultilevel"/>
    <w:tmpl w:val="35BA967E"/>
    <w:lvl w:ilvl="0" w:tplc="65560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615762"/>
    <w:multiLevelType w:val="hybridMultilevel"/>
    <w:tmpl w:val="A448F1F8"/>
    <w:lvl w:ilvl="0" w:tplc="F3C69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285523"/>
    <w:multiLevelType w:val="hybridMultilevel"/>
    <w:tmpl w:val="221ABAA0"/>
    <w:lvl w:ilvl="0" w:tplc="BA8C0E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E0E46"/>
    <w:multiLevelType w:val="hybridMultilevel"/>
    <w:tmpl w:val="B728085C"/>
    <w:lvl w:ilvl="0" w:tplc="EE76DD9A">
      <w:start w:val="1"/>
      <w:numFmt w:val="decimal"/>
      <w:pStyle w:val="Titre2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85"/>
    <w:rsid w:val="00285D81"/>
    <w:rsid w:val="002A509F"/>
    <w:rsid w:val="006119A9"/>
    <w:rsid w:val="007973CE"/>
    <w:rsid w:val="007B7D3D"/>
    <w:rsid w:val="008C5AE8"/>
    <w:rsid w:val="00994CB8"/>
    <w:rsid w:val="009A2F3B"/>
    <w:rsid w:val="00D45785"/>
    <w:rsid w:val="00E3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09F"/>
    <w:pPr>
      <w:keepNext/>
      <w:keepLines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Cs/>
      <w:color w:val="948A54" w:themeColor="background2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509F"/>
    <w:pPr>
      <w:keepNext/>
      <w:keepLines/>
      <w:numPr>
        <w:numId w:val="5"/>
      </w:numPr>
      <w:spacing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9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A509F"/>
    <w:rPr>
      <w:rFonts w:asciiTheme="majorHAnsi" w:eastAsiaTheme="majorEastAsia" w:hAnsiTheme="majorHAnsi" w:cstheme="majorBidi"/>
      <w:bCs/>
      <w:color w:val="948A54" w:themeColor="background2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A509F"/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09F"/>
    <w:pPr>
      <w:keepNext/>
      <w:keepLines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Cs/>
      <w:color w:val="948A54" w:themeColor="background2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509F"/>
    <w:pPr>
      <w:keepNext/>
      <w:keepLines/>
      <w:numPr>
        <w:numId w:val="5"/>
      </w:numPr>
      <w:spacing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9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A509F"/>
    <w:rPr>
      <w:rFonts w:asciiTheme="majorHAnsi" w:eastAsiaTheme="majorEastAsia" w:hAnsiTheme="majorHAnsi" w:cstheme="majorBidi"/>
      <w:bCs/>
      <w:color w:val="948A54" w:themeColor="background2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A509F"/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Marika</cp:lastModifiedBy>
  <cp:revision>5</cp:revision>
  <dcterms:created xsi:type="dcterms:W3CDTF">2011-04-07T09:02:00Z</dcterms:created>
  <dcterms:modified xsi:type="dcterms:W3CDTF">2011-04-14T08:51:00Z</dcterms:modified>
</cp:coreProperties>
</file>