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CB9" w:rsidRPr="00732C4D" w:rsidRDefault="00E55BB4" w:rsidP="00732C4D">
      <w:pPr>
        <w:pStyle w:val="Titre5"/>
      </w:pPr>
      <w:r w:rsidRPr="00732C4D">
        <w:t>Chapitre 2 : Utilisation des aliments : Notion de digestibilité</w:t>
      </w:r>
    </w:p>
    <w:p w:rsidR="00E55BB4" w:rsidRPr="00732C4D" w:rsidRDefault="00CD3FCF" w:rsidP="00E55BB4">
      <w:r w:rsidRPr="00732C4D">
        <w:t xml:space="preserve">Les </w:t>
      </w:r>
      <w:r w:rsidRPr="00494501">
        <w:rPr>
          <w:b/>
          <w:color w:val="7030A0"/>
        </w:rPr>
        <w:t>monogastriques</w:t>
      </w:r>
      <w:r w:rsidRPr="00732C4D">
        <w:t xml:space="preserve"> sont </w:t>
      </w:r>
      <w:r w:rsidRPr="00A3549C">
        <w:rPr>
          <w:b/>
          <w:color w:val="FF0000"/>
        </w:rPr>
        <w:t>acteurs de leur digestion</w:t>
      </w:r>
      <w:r w:rsidRPr="00732C4D">
        <w:t xml:space="preserve"> avec un </w:t>
      </w:r>
      <w:r w:rsidRPr="00A3549C">
        <w:rPr>
          <w:b/>
          <w:color w:val="FF0000"/>
        </w:rPr>
        <w:t>rôle restreint de la flore</w:t>
      </w:r>
      <w:r w:rsidRPr="00732C4D">
        <w:t>. On va prendre en compte directement les besoins de l’animal.</w:t>
      </w:r>
    </w:p>
    <w:p w:rsidR="00CD3FCF" w:rsidRPr="00732C4D" w:rsidRDefault="00CD3FCF" w:rsidP="00E55BB4">
      <w:r w:rsidRPr="00732C4D">
        <w:t xml:space="preserve">Chez les </w:t>
      </w:r>
      <w:r w:rsidRPr="00494501">
        <w:rPr>
          <w:b/>
          <w:color w:val="7030A0"/>
        </w:rPr>
        <w:t>ruminants</w:t>
      </w:r>
      <w:r w:rsidRPr="00732C4D">
        <w:t xml:space="preserve">, il y a une </w:t>
      </w:r>
      <w:r w:rsidRPr="00A3549C">
        <w:rPr>
          <w:b/>
          <w:color w:val="FF0000"/>
        </w:rPr>
        <w:t>prédigestion par les microorganismes</w:t>
      </w:r>
      <w:r w:rsidRPr="00732C4D">
        <w:t xml:space="preserve"> dans le rumen. Ce que l’on apporte va être d’abord </w:t>
      </w:r>
      <w:r w:rsidRPr="00A3549C">
        <w:rPr>
          <w:b/>
          <w:color w:val="FF0000"/>
        </w:rPr>
        <w:t>remanié par les microorganismes</w:t>
      </w:r>
      <w:r w:rsidRPr="00732C4D">
        <w:t xml:space="preserve"> avant d’apporter des nutriments à l’animal.</w:t>
      </w:r>
    </w:p>
    <w:p w:rsidR="00CD3FCF" w:rsidRPr="00732C4D" w:rsidRDefault="00CD3FCF" w:rsidP="00732C4D">
      <w:pPr>
        <w:pStyle w:val="Titre1"/>
      </w:pPr>
      <w:r w:rsidRPr="00732C4D">
        <w:t>Définitions</w:t>
      </w:r>
    </w:p>
    <w:p w:rsidR="00CD3FCF" w:rsidRPr="00732C4D" w:rsidRDefault="00CD3FCF" w:rsidP="00CD3FCF">
      <w:r w:rsidRPr="00732C4D">
        <w:t xml:space="preserve">La </w:t>
      </w:r>
      <w:r w:rsidRPr="00A3549C">
        <w:rPr>
          <w:b/>
          <w:color w:val="FF0000"/>
        </w:rPr>
        <w:t>digestibilité</w:t>
      </w:r>
      <w:r w:rsidRPr="00732C4D">
        <w:t xml:space="preserve"> est le degré de disparition des</w:t>
      </w:r>
      <w:r w:rsidR="00A3549C">
        <w:t xml:space="preserve"> aliments dans le tube digestif</w:t>
      </w:r>
      <w:r w:rsidR="00A3549C">
        <w:br/>
      </w:r>
      <w:r w:rsidRPr="00732C4D">
        <w:t>Pour estimer ce qui a disparu, on compar</w:t>
      </w:r>
      <w:r w:rsidR="00A3549C">
        <w:t>e ce qui a été ingéré aux fèces</w:t>
      </w:r>
    </w:p>
    <w:p w:rsidR="00CD3FCF" w:rsidRPr="00732C4D" w:rsidRDefault="00CD3FCF" w:rsidP="00CD3FCF">
      <w:pPr>
        <w:pStyle w:val="Paragraphedeliste"/>
        <w:numPr>
          <w:ilvl w:val="0"/>
          <w:numId w:val="37"/>
        </w:numPr>
      </w:pPr>
      <w:r w:rsidRPr="00A3549C">
        <w:rPr>
          <w:b/>
          <w:color w:val="FF0000"/>
        </w:rPr>
        <w:t>Digestibilité apparente</w:t>
      </w:r>
      <w:r w:rsidR="00A3549C">
        <w:rPr>
          <w:b/>
          <w:color w:val="FF0000"/>
        </w:rPr>
        <w:tab/>
      </w:r>
      <w:r w:rsidR="00A3549C">
        <w:rPr>
          <w:b/>
          <w:color w:val="FF0000"/>
        </w:rPr>
        <w:tab/>
      </w:r>
      <w:r w:rsidRPr="00732C4D">
        <w:t xml:space="preserve"> </w:t>
      </w:r>
      <w:r w:rsidR="00A3549C">
        <w:rPr>
          <w:b/>
          <w:sz w:val="24"/>
          <w:highlight w:val="yellow"/>
        </w:rPr>
        <w:t>da</w:t>
      </w:r>
      <w:r w:rsidRPr="00A3549C">
        <w:rPr>
          <w:b/>
          <w:sz w:val="24"/>
          <w:highlight w:val="yellow"/>
        </w:rPr>
        <w:t> : (I – F)/I</w:t>
      </w:r>
      <w:r w:rsidRPr="00732C4D">
        <w:br/>
        <w:t>On l’appelle ainsi car on ne prend pas en compte le fait qu’il y a des éléments qui ne viennent pas de l’aliment dans les fèces.</w:t>
      </w:r>
    </w:p>
    <w:p w:rsidR="00CD3FCF" w:rsidRPr="00732C4D" w:rsidRDefault="00CD3FCF" w:rsidP="00CD3FCF">
      <w:pPr>
        <w:pStyle w:val="Paragraphedeliste"/>
        <w:numPr>
          <w:ilvl w:val="0"/>
          <w:numId w:val="37"/>
        </w:numPr>
      </w:pPr>
      <w:r w:rsidRPr="00A3549C">
        <w:rPr>
          <w:b/>
          <w:color w:val="FF0000"/>
        </w:rPr>
        <w:t>Digestibilité réelle</w:t>
      </w:r>
      <w:r w:rsidRPr="00732C4D">
        <w:t xml:space="preserve"> </w:t>
      </w:r>
      <w:r w:rsidR="00A3549C">
        <w:tab/>
      </w:r>
      <w:proofErr w:type="spellStart"/>
      <w:r w:rsidR="00A3549C">
        <w:rPr>
          <w:b/>
          <w:sz w:val="24"/>
          <w:highlight w:val="yellow"/>
        </w:rPr>
        <w:t>dr</w:t>
      </w:r>
      <w:proofErr w:type="spellEnd"/>
      <w:r w:rsidRPr="00A3549C">
        <w:rPr>
          <w:b/>
          <w:sz w:val="24"/>
          <w:highlight w:val="yellow"/>
        </w:rPr>
        <w:t> : (I – (F – Fe))/I</w:t>
      </w:r>
      <w:r w:rsidRPr="00732C4D">
        <w:br/>
        <w:t>On prend en compte les fèces endogènes (qui proviennent de l’organisme).</w:t>
      </w:r>
    </w:p>
    <w:p w:rsidR="00CD3FCF" w:rsidRPr="00732C4D" w:rsidRDefault="00CD3FCF" w:rsidP="00CD3FCF">
      <w:r w:rsidRPr="00732C4D">
        <w:rPr>
          <w:noProof/>
          <w:lang w:eastAsia="fr-FR"/>
        </w:rPr>
        <w:drawing>
          <wp:inline distT="0" distB="0" distL="0" distR="0">
            <wp:extent cx="3390900" cy="2647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CF" w:rsidRPr="00732C4D" w:rsidRDefault="009D7DA6" w:rsidP="00CD3FCF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861695</wp:posOffset>
            </wp:positionV>
            <wp:extent cx="5743575" cy="1781175"/>
            <wp:effectExtent l="19050" t="0" r="9525" b="0"/>
            <wp:wrapThrough wrapText="bothSides">
              <wp:wrapPolygon edited="0">
                <wp:start x="-72" y="0"/>
                <wp:lineTo x="-72" y="21484"/>
                <wp:lineTo x="21636" y="21484"/>
                <wp:lineTo x="21636" y="0"/>
                <wp:lineTo x="-72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4897" w:rsidRPr="00732C4D">
        <w:t xml:space="preserve">Le </w:t>
      </w:r>
      <w:r w:rsidR="00564897" w:rsidRPr="00A3549C">
        <w:rPr>
          <w:b/>
          <w:color w:val="FF0000"/>
        </w:rPr>
        <w:t>rapport</w:t>
      </w:r>
      <w:r w:rsidR="00564897" w:rsidRPr="00732C4D">
        <w:t xml:space="preserve"> est </w:t>
      </w:r>
      <w:r w:rsidR="00564897" w:rsidRPr="00A3549C">
        <w:rPr>
          <w:b/>
          <w:color w:val="00B050"/>
        </w:rPr>
        <w:t>toujours inférieur à 1</w:t>
      </w:r>
      <w:r w:rsidR="00A3549C">
        <w:rPr>
          <w:b/>
          <w:color w:val="00B050"/>
        </w:rPr>
        <w:br/>
      </w:r>
      <w:r w:rsidR="00A3549C">
        <w:t>On applique</w:t>
      </w:r>
      <w:r w:rsidR="00480D2D" w:rsidRPr="00732C4D">
        <w:t xml:space="preserve"> la digestibilité à ce que l’on veut : aux matières sèches (</w:t>
      </w:r>
      <w:proofErr w:type="spellStart"/>
      <w:r w:rsidR="00480D2D" w:rsidRPr="009D7DA6">
        <w:rPr>
          <w:b/>
        </w:rPr>
        <w:t>dMS</w:t>
      </w:r>
      <w:proofErr w:type="spellEnd"/>
      <w:r w:rsidR="00480D2D" w:rsidRPr="00732C4D">
        <w:t>), aux matières organiques (</w:t>
      </w:r>
      <w:proofErr w:type="spellStart"/>
      <w:r w:rsidR="00480D2D" w:rsidRPr="009D7DA6">
        <w:rPr>
          <w:b/>
        </w:rPr>
        <w:t>dMO</w:t>
      </w:r>
      <w:proofErr w:type="spellEnd"/>
      <w:r w:rsidR="00480D2D" w:rsidRPr="00732C4D">
        <w:t>), à l’énergie (</w:t>
      </w:r>
      <w:proofErr w:type="spellStart"/>
      <w:r w:rsidR="00480D2D" w:rsidRPr="009D7DA6">
        <w:rPr>
          <w:b/>
        </w:rPr>
        <w:t>dE</w:t>
      </w:r>
      <w:proofErr w:type="spellEnd"/>
      <w:r w:rsidR="00480D2D" w:rsidRPr="00732C4D">
        <w:t>), au calcium (</w:t>
      </w:r>
      <w:proofErr w:type="spellStart"/>
      <w:r w:rsidR="00480D2D" w:rsidRPr="009D7DA6">
        <w:rPr>
          <w:b/>
        </w:rPr>
        <w:t>dC</w:t>
      </w:r>
      <w:proofErr w:type="spellEnd"/>
      <w:r w:rsidR="00480D2D" w:rsidRPr="00732C4D">
        <w:t>)… si on a</w:t>
      </w:r>
      <w:r w:rsidR="00480D2D" w:rsidRPr="007C64CE">
        <w:rPr>
          <w:b/>
        </w:rPr>
        <w:t xml:space="preserve"> d</w:t>
      </w:r>
      <w:r w:rsidR="00480D2D" w:rsidRPr="00732C4D">
        <w:t xml:space="preserve">, on parle de </w:t>
      </w:r>
      <w:r w:rsidR="00480D2D" w:rsidRPr="009D7DA6">
        <w:rPr>
          <w:b/>
          <w:color w:val="FF0000"/>
        </w:rPr>
        <w:t>digestibilité apparente</w:t>
      </w:r>
      <w:r w:rsidR="00480D2D" w:rsidRPr="00732C4D">
        <w:t xml:space="preserve">, et si on a </w:t>
      </w:r>
      <w:proofErr w:type="spellStart"/>
      <w:r w:rsidR="00480D2D" w:rsidRPr="007C64CE">
        <w:rPr>
          <w:b/>
        </w:rPr>
        <w:t>dr</w:t>
      </w:r>
      <w:proofErr w:type="spellEnd"/>
      <w:r w:rsidR="00480D2D" w:rsidRPr="00732C4D">
        <w:t xml:space="preserve"> on parle de </w:t>
      </w:r>
      <w:r w:rsidR="00480D2D" w:rsidRPr="009D7DA6">
        <w:rPr>
          <w:b/>
          <w:color w:val="FF0000"/>
        </w:rPr>
        <w:t>digestibilité réelle</w:t>
      </w:r>
    </w:p>
    <w:p w:rsidR="00480D2D" w:rsidRPr="00732C4D" w:rsidRDefault="00480D2D" w:rsidP="00CD3FCF"/>
    <w:p w:rsidR="00480D2D" w:rsidRPr="009D7DA6" w:rsidRDefault="00480D2D" w:rsidP="00CD3FCF">
      <w:pPr>
        <w:rPr>
          <w:b/>
        </w:rPr>
      </w:pPr>
      <w:proofErr w:type="spellStart"/>
      <w:proofErr w:type="gramStart"/>
      <w:r w:rsidRPr="009D7DA6">
        <w:rPr>
          <w:b/>
        </w:rPr>
        <w:t>dMO</w:t>
      </w:r>
      <w:proofErr w:type="spellEnd"/>
      <w:proofErr w:type="gramEnd"/>
      <w:r w:rsidRPr="009D7DA6">
        <w:rPr>
          <w:b/>
        </w:rPr>
        <w:t xml:space="preserve"> = (10 – 3)/10 = 0,7</w:t>
      </w:r>
    </w:p>
    <w:p w:rsidR="00480D2D" w:rsidRPr="00732C4D" w:rsidRDefault="00480D2D" w:rsidP="00CD3FCF">
      <w:r w:rsidRPr="00732C4D">
        <w:t xml:space="preserve">Le </w:t>
      </w:r>
      <w:r w:rsidRPr="009D7DA6">
        <w:rPr>
          <w:b/>
        </w:rPr>
        <w:t>CUD</w:t>
      </w:r>
      <w:r w:rsidRPr="00732C4D">
        <w:t xml:space="preserve"> est le coefficient d’utilisation digestive est la digestibilité </w:t>
      </w:r>
      <w:r w:rsidR="007A292F" w:rsidRPr="00732C4D">
        <w:t xml:space="preserve"> apparente </w:t>
      </w:r>
      <w:r w:rsidR="009D7DA6">
        <w:t>mais exprimée en pourcentages</w:t>
      </w:r>
    </w:p>
    <w:p w:rsidR="007A292F" w:rsidRPr="009D7DA6" w:rsidRDefault="007A292F" w:rsidP="00CD3FCF">
      <w:pPr>
        <w:rPr>
          <w:u w:val="single"/>
        </w:rPr>
      </w:pPr>
      <w:r w:rsidRPr="009D7DA6">
        <w:rPr>
          <w:u w:val="single"/>
        </w:rPr>
        <w:t>Intérêts :</w:t>
      </w:r>
    </w:p>
    <w:p w:rsidR="007A292F" w:rsidRPr="00732C4D" w:rsidRDefault="007A292F" w:rsidP="007A292F">
      <w:pPr>
        <w:pStyle w:val="Paragraphedeliste"/>
        <w:numPr>
          <w:ilvl w:val="0"/>
          <w:numId w:val="37"/>
        </w:numPr>
      </w:pPr>
      <w:r w:rsidRPr="009D7DA6">
        <w:rPr>
          <w:b/>
          <w:color w:val="FF0000"/>
        </w:rPr>
        <w:t>Estimer la part de l’aliment absorbée</w:t>
      </w:r>
      <w:r w:rsidRPr="00732C4D">
        <w:t xml:space="preserve"> = voir ce que l’aliment apporte réellement à l’animal</w:t>
      </w:r>
    </w:p>
    <w:p w:rsidR="007A292F" w:rsidRPr="009D7DA6" w:rsidRDefault="007A292F" w:rsidP="007A292F">
      <w:pPr>
        <w:pStyle w:val="Paragraphedeliste"/>
        <w:numPr>
          <w:ilvl w:val="0"/>
          <w:numId w:val="37"/>
        </w:numPr>
        <w:rPr>
          <w:b/>
          <w:color w:val="FF0000"/>
        </w:rPr>
      </w:pPr>
      <w:r w:rsidRPr="009D7DA6">
        <w:rPr>
          <w:b/>
          <w:color w:val="FF0000"/>
        </w:rPr>
        <w:t>Appréciation de la valeur énergétique</w:t>
      </w:r>
    </w:p>
    <w:p w:rsidR="007A292F" w:rsidRPr="009D7DA6" w:rsidRDefault="007A292F" w:rsidP="007A292F">
      <w:pPr>
        <w:pStyle w:val="Paragraphedeliste"/>
        <w:numPr>
          <w:ilvl w:val="0"/>
          <w:numId w:val="37"/>
        </w:numPr>
        <w:rPr>
          <w:b/>
          <w:color w:val="FF0000"/>
        </w:rPr>
      </w:pPr>
      <w:r w:rsidRPr="009D7DA6">
        <w:rPr>
          <w:b/>
          <w:color w:val="FF0000"/>
        </w:rPr>
        <w:t>Minéraux</w:t>
      </w:r>
    </w:p>
    <w:p w:rsidR="007A292F" w:rsidRPr="00732C4D" w:rsidRDefault="007A292F" w:rsidP="00732C4D">
      <w:pPr>
        <w:pStyle w:val="Titre1"/>
      </w:pPr>
      <w:r w:rsidRPr="00732C4D">
        <w:t>Méthodes de l’estimation de la « da » des aliments</w:t>
      </w:r>
    </w:p>
    <w:p w:rsidR="007A292F" w:rsidRPr="00732C4D" w:rsidRDefault="00D401AB" w:rsidP="007A292F">
      <w:r w:rsidRPr="009D7DA6">
        <w:rPr>
          <w:b/>
          <w:color w:val="FF0000"/>
        </w:rPr>
        <w:t>Problèmes avec les volailles</w:t>
      </w:r>
      <w:r w:rsidRPr="00732C4D">
        <w:t xml:space="preserve"> car les fientes sont composées des urines et des fèces</w:t>
      </w:r>
    </w:p>
    <w:p w:rsidR="00F45F57" w:rsidRPr="00732C4D" w:rsidRDefault="00D401AB" w:rsidP="007A292F">
      <w:r w:rsidRPr="009D7DA6">
        <w:rPr>
          <w:b/>
        </w:rPr>
        <w:t>Expériences scientifiques</w:t>
      </w:r>
      <w:r w:rsidRPr="00732C4D">
        <w:t> = démarches rigoureuses avec un protocole standard</w:t>
      </w:r>
      <w:r w:rsidR="00F45F57" w:rsidRPr="00732C4D">
        <w:t xml:space="preserve"> </w:t>
      </w:r>
    </w:p>
    <w:p w:rsidR="00F45F57" w:rsidRPr="00732C4D" w:rsidRDefault="00F45F57" w:rsidP="007A292F">
      <w:r w:rsidRPr="00732C4D">
        <w:t xml:space="preserve">Il y a </w:t>
      </w:r>
      <w:r w:rsidRPr="009D7DA6">
        <w:rPr>
          <w:b/>
          <w:color w:val="FF0000"/>
        </w:rPr>
        <w:t>autant de valeur de digestibilité que d’individus et d’aliments</w:t>
      </w:r>
      <w:r w:rsidRPr="00732C4D">
        <w:t xml:space="preserve"> </w:t>
      </w:r>
      <w:r w:rsidRPr="00732C4D">
        <w:sym w:font="Wingdings" w:char="F0E0"/>
      </w:r>
      <w:r w:rsidRPr="00732C4D">
        <w:t xml:space="preserve"> statistiques = les conditions standards sont avec 4 moutons pendant </w:t>
      </w:r>
      <w:r w:rsidR="009D7DA6">
        <w:t>1</w:t>
      </w:r>
      <w:r w:rsidRPr="00732C4D">
        <w:t xml:space="preserve"> mois pour un aliment. C’est long et cher. Cela a été fait pour toute une base de données et après cela on fait des estimations.</w:t>
      </w:r>
    </w:p>
    <w:p w:rsidR="00F45F57" w:rsidRPr="00732C4D" w:rsidRDefault="00F45F57" w:rsidP="007A292F">
      <w:r w:rsidRPr="009D7DA6">
        <w:rPr>
          <w:b/>
        </w:rPr>
        <w:t>Estimations</w:t>
      </w:r>
      <w:r w:rsidRPr="00732C4D">
        <w:t> :</w:t>
      </w:r>
    </w:p>
    <w:p w:rsidR="00F45F57" w:rsidRPr="00732C4D" w:rsidRDefault="00F45F57" w:rsidP="00F45F57">
      <w:pPr>
        <w:pStyle w:val="Paragraphedeliste"/>
        <w:numPr>
          <w:ilvl w:val="0"/>
          <w:numId w:val="37"/>
        </w:numPr>
      </w:pPr>
      <w:r w:rsidRPr="00732C4D">
        <w:t>Caractéristiques de la plante = famille botanique, stade de développement de récolte, conditions de récolte</w:t>
      </w:r>
    </w:p>
    <w:p w:rsidR="00F45F57" w:rsidRPr="00732C4D" w:rsidRDefault="00F45F57" w:rsidP="00F45F57">
      <w:pPr>
        <w:pStyle w:val="Paragraphedeliste"/>
        <w:numPr>
          <w:ilvl w:val="0"/>
          <w:numId w:val="37"/>
        </w:numPr>
      </w:pPr>
      <w:r w:rsidRPr="00732C4D">
        <w:t>Méthodes chimiques</w:t>
      </w:r>
    </w:p>
    <w:p w:rsidR="00F45F57" w:rsidRPr="00732C4D" w:rsidRDefault="00F45F57" w:rsidP="00F45F57">
      <w:pPr>
        <w:pStyle w:val="Paragraphedeliste"/>
        <w:numPr>
          <w:ilvl w:val="0"/>
          <w:numId w:val="37"/>
        </w:numPr>
      </w:pPr>
      <w:r w:rsidRPr="00732C4D">
        <w:t>Méthodes microbiologiques</w:t>
      </w:r>
    </w:p>
    <w:p w:rsidR="00F45F57" w:rsidRPr="00732C4D" w:rsidRDefault="00F45F57" w:rsidP="00F45F57">
      <w:pPr>
        <w:pStyle w:val="Paragraphedeliste"/>
        <w:numPr>
          <w:ilvl w:val="0"/>
          <w:numId w:val="37"/>
        </w:numPr>
      </w:pPr>
      <w:r w:rsidRPr="00732C4D">
        <w:t>Isotopes radioactifs (</w:t>
      </w:r>
      <w:proofErr w:type="spellStart"/>
      <w:r w:rsidRPr="00732C4D">
        <w:t>dr</w:t>
      </w:r>
      <w:proofErr w:type="spellEnd"/>
      <w:r w:rsidRPr="00732C4D">
        <w:t>)</w:t>
      </w:r>
    </w:p>
    <w:p w:rsidR="00F45F57" w:rsidRPr="00732C4D" w:rsidRDefault="00F45F57" w:rsidP="00F45F57">
      <w:r w:rsidRPr="00732C4D">
        <w:t xml:space="preserve">Calcul de la </w:t>
      </w:r>
      <w:r w:rsidR="009D7DA6" w:rsidRPr="009D7DA6">
        <w:rPr>
          <w:b/>
          <w:color w:val="FF0000"/>
        </w:rPr>
        <w:t>digestibilité i</w:t>
      </w:r>
      <w:r w:rsidR="007C64CE">
        <w:rPr>
          <w:b/>
          <w:color w:val="FF0000"/>
        </w:rPr>
        <w:t>l</w:t>
      </w:r>
      <w:r w:rsidRPr="009D7DA6">
        <w:rPr>
          <w:b/>
          <w:color w:val="FF0000"/>
        </w:rPr>
        <w:t>éale</w:t>
      </w:r>
      <w:r w:rsidRPr="00732C4D">
        <w:t xml:space="preserve"> : fèces au niveau de l’iléon car au niveau du gros intestin il y a des fermentations microbiennes = composés qui ne font pas partie de la digestibilité </w:t>
      </w:r>
      <w:r w:rsidRPr="00732C4D">
        <w:sym w:font="Wingdings" w:char="F0E0"/>
      </w:r>
      <w:r w:rsidRPr="00732C4D">
        <w:t xml:space="preserve"> enjeux environnementaux caca</w:t>
      </w:r>
    </w:p>
    <w:p w:rsidR="00F45F57" w:rsidRPr="00732C4D" w:rsidRDefault="00F45F57" w:rsidP="00732C4D">
      <w:pPr>
        <w:pStyle w:val="Titre1"/>
      </w:pPr>
      <w:r w:rsidRPr="00732C4D">
        <w:t>Principaux facteurs de variation</w:t>
      </w:r>
    </w:p>
    <w:p w:rsidR="00DA6627" w:rsidRPr="00732C4D" w:rsidRDefault="00DA6627" w:rsidP="00DA6627"/>
    <w:p w:rsidR="00DA6627" w:rsidRPr="00732C4D" w:rsidRDefault="009D7DA6" w:rsidP="00A73FBD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2662555</wp:posOffset>
            </wp:positionH>
            <wp:positionV relativeFrom="paragraph">
              <wp:posOffset>508635</wp:posOffset>
            </wp:positionV>
            <wp:extent cx="3924300" cy="2705100"/>
            <wp:effectExtent l="19050" t="0" r="0" b="0"/>
            <wp:wrapThrough wrapText="bothSides">
              <wp:wrapPolygon edited="0">
                <wp:start x="-105" y="0"/>
                <wp:lineTo x="-105" y="21448"/>
                <wp:lineTo x="21600" y="21448"/>
                <wp:lineTo x="21600" y="0"/>
                <wp:lineTo x="-105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627" w:rsidRPr="00732C4D">
        <w:t>Il n’y a p</w:t>
      </w:r>
      <w:r w:rsidR="00A73FBD">
        <w:t>as de superposition des points</w:t>
      </w:r>
      <w:r w:rsidR="00A73FBD">
        <w:br/>
      </w:r>
      <w:r w:rsidR="00DA6627" w:rsidRPr="00732C4D">
        <w:t xml:space="preserve">Les </w:t>
      </w:r>
      <w:r w:rsidR="00DA6627" w:rsidRPr="00A73FBD">
        <w:rPr>
          <w:b/>
          <w:color w:val="7030A0"/>
        </w:rPr>
        <w:t>ruminants</w:t>
      </w:r>
      <w:r w:rsidR="00DA6627" w:rsidRPr="00732C4D">
        <w:t xml:space="preserve"> </w:t>
      </w:r>
      <w:r w:rsidR="00DA6627" w:rsidRPr="00A73FBD">
        <w:rPr>
          <w:b/>
          <w:color w:val="FF0000"/>
        </w:rPr>
        <w:t>ont une digestibilité</w:t>
      </w:r>
      <w:r w:rsidR="00DA6627" w:rsidRPr="00732C4D">
        <w:t xml:space="preserve"> </w:t>
      </w:r>
      <w:r w:rsidR="00A73FBD" w:rsidRPr="00A73FBD">
        <w:rPr>
          <w:b/>
          <w:color w:val="00B050"/>
        </w:rPr>
        <w:t>+</w:t>
      </w:r>
      <w:r w:rsidR="00DA6627" w:rsidRPr="00A73FBD">
        <w:rPr>
          <w:b/>
          <w:color w:val="00B050"/>
        </w:rPr>
        <w:t xml:space="preserve"> importante</w:t>
      </w:r>
      <w:r w:rsidR="00DA6627" w:rsidRPr="00732C4D">
        <w:t xml:space="preserve"> grâce à leurs microorganismes. </w:t>
      </w:r>
      <w:r w:rsidR="00A73FBD">
        <w:br/>
      </w:r>
      <w:r w:rsidR="00DA6627" w:rsidRPr="00732C4D">
        <w:t xml:space="preserve">Au sein </w:t>
      </w:r>
      <w:r w:rsidR="00DA6627" w:rsidRPr="00A73FBD">
        <w:rPr>
          <w:b/>
          <w:color w:val="7030A0"/>
        </w:rPr>
        <w:t>des monogastriques</w:t>
      </w:r>
      <w:r w:rsidR="00DA6627" w:rsidRPr="00732C4D">
        <w:t xml:space="preserve">, il y a une </w:t>
      </w:r>
      <w:r w:rsidR="00DA6627" w:rsidRPr="00A73FBD">
        <w:rPr>
          <w:b/>
          <w:color w:val="00B050"/>
        </w:rPr>
        <w:t>meilleur</w:t>
      </w:r>
      <w:r w:rsidR="00435A42" w:rsidRPr="00A73FBD">
        <w:rPr>
          <w:b/>
          <w:color w:val="00B050"/>
        </w:rPr>
        <w:t>e</w:t>
      </w:r>
      <w:r w:rsidR="00DA6627" w:rsidRPr="00A73FBD">
        <w:rPr>
          <w:b/>
          <w:color w:val="00B050"/>
        </w:rPr>
        <w:t xml:space="preserve"> utilisation</w:t>
      </w:r>
      <w:r w:rsidR="00DA6627" w:rsidRPr="00732C4D">
        <w:t xml:space="preserve"> </w:t>
      </w:r>
      <w:r w:rsidR="00DA6627" w:rsidRPr="007C64CE">
        <w:rPr>
          <w:b/>
          <w:color w:val="7030A0"/>
        </w:rPr>
        <w:t>chez les chevaux</w:t>
      </w:r>
      <w:r w:rsidR="00DA6627" w:rsidRPr="00732C4D">
        <w:t xml:space="preserve"> </w:t>
      </w:r>
      <w:r w:rsidR="00DA6627" w:rsidRPr="007C64CE">
        <w:rPr>
          <w:b/>
        </w:rPr>
        <w:t>puis chez</w:t>
      </w:r>
      <w:r w:rsidR="00DA6627" w:rsidRPr="007C64CE">
        <w:rPr>
          <w:b/>
          <w:color w:val="7030A0"/>
        </w:rPr>
        <w:t xml:space="preserve"> les</w:t>
      </w:r>
      <w:r w:rsidR="00DA6627" w:rsidRPr="00732C4D">
        <w:t xml:space="preserve"> </w:t>
      </w:r>
      <w:r w:rsidR="00DA6627" w:rsidRPr="007C64CE">
        <w:rPr>
          <w:b/>
          <w:color w:val="7030A0"/>
        </w:rPr>
        <w:t>porcs</w:t>
      </w:r>
      <w:r w:rsidR="00DA6627" w:rsidRPr="00732C4D">
        <w:t xml:space="preserve"> </w:t>
      </w:r>
      <w:r w:rsidR="00DA6627" w:rsidRPr="007C64CE">
        <w:rPr>
          <w:b/>
        </w:rPr>
        <w:t>puis</w:t>
      </w:r>
      <w:r w:rsidR="00DA6627" w:rsidRPr="00732C4D">
        <w:t xml:space="preserve"> </w:t>
      </w:r>
      <w:r w:rsidR="00DA6627" w:rsidRPr="007C64CE">
        <w:rPr>
          <w:b/>
          <w:color w:val="7030A0"/>
        </w:rPr>
        <w:t>les lapins</w:t>
      </w:r>
      <w:r w:rsidR="00DA6627" w:rsidRPr="00732C4D">
        <w:t xml:space="preserve">. </w:t>
      </w:r>
      <w:r w:rsidR="00DA6627" w:rsidRPr="007C64CE">
        <w:rPr>
          <w:b/>
          <w:color w:val="7030A0"/>
        </w:rPr>
        <w:t>Les volailles</w:t>
      </w:r>
      <w:r w:rsidR="00DA6627" w:rsidRPr="00732C4D">
        <w:t xml:space="preserve"> sont très en-dessous des autres espèces.</w:t>
      </w:r>
    </w:p>
    <w:p w:rsidR="00C563C7" w:rsidRPr="00732C4D" w:rsidRDefault="00C563C7" w:rsidP="00DA6627">
      <w:r w:rsidRPr="00732C4D">
        <w:t xml:space="preserve">La digestibilité est aussi </w:t>
      </w:r>
      <w:r w:rsidRPr="00A73FBD">
        <w:rPr>
          <w:b/>
          <w:color w:val="FF0000"/>
        </w:rPr>
        <w:t>liée à l’âge de l’animal, à son environnement</w:t>
      </w:r>
      <w:r w:rsidRPr="00732C4D">
        <w:t>…</w:t>
      </w:r>
    </w:p>
    <w:p w:rsidR="00C563C7" w:rsidRPr="00732C4D" w:rsidRDefault="00C563C7" w:rsidP="00DA6627">
      <w:r w:rsidRPr="00732C4D">
        <w:rPr>
          <w:noProof/>
          <w:lang w:eastAsia="fr-FR"/>
        </w:rPr>
        <w:lastRenderedPageBreak/>
        <w:drawing>
          <wp:inline distT="0" distB="0" distL="0" distR="0">
            <wp:extent cx="3895106" cy="311097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0981" cy="311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3C7" w:rsidRPr="00732C4D" w:rsidRDefault="00C563C7" w:rsidP="00DA6627">
      <w:r w:rsidRPr="00732C4D">
        <w:t xml:space="preserve">La digestibilité est aussi </w:t>
      </w:r>
      <w:r w:rsidRPr="00A73FBD">
        <w:rPr>
          <w:b/>
          <w:color w:val="FF0000"/>
        </w:rPr>
        <w:t>liée à l’aliment</w:t>
      </w:r>
      <w:r w:rsidR="00A73FBD">
        <w:br/>
      </w:r>
      <w:r w:rsidRPr="00732C4D">
        <w:t xml:space="preserve">Il y a une </w:t>
      </w:r>
      <w:r w:rsidRPr="00A73FBD">
        <w:rPr>
          <w:b/>
          <w:color w:val="00B050"/>
        </w:rPr>
        <w:t>meilleure</w:t>
      </w:r>
      <w:r w:rsidRPr="00732C4D">
        <w:t xml:space="preserve"> </w:t>
      </w:r>
      <w:r w:rsidRPr="00A73FBD">
        <w:rPr>
          <w:b/>
          <w:color w:val="FF0000"/>
        </w:rPr>
        <w:t>digestibilité des concentrés</w:t>
      </w:r>
      <w:r w:rsidRPr="00732C4D">
        <w:t xml:space="preserve"> </w:t>
      </w:r>
      <w:r w:rsidRPr="00A73FBD">
        <w:rPr>
          <w:b/>
          <w:color w:val="00B050"/>
        </w:rPr>
        <w:t>par rapport</w:t>
      </w:r>
      <w:r w:rsidRPr="00732C4D">
        <w:t xml:space="preserve"> </w:t>
      </w:r>
      <w:r w:rsidRPr="00A73FBD">
        <w:rPr>
          <w:b/>
          <w:color w:val="FF0000"/>
        </w:rPr>
        <w:t>aux fourrages</w:t>
      </w:r>
      <w:r w:rsidR="00A73FBD">
        <w:rPr>
          <w:b/>
          <w:color w:val="FF0000"/>
        </w:rPr>
        <w:br/>
      </w:r>
      <w:r w:rsidRPr="00732C4D">
        <w:t xml:space="preserve">Au niveau des </w:t>
      </w:r>
      <w:r w:rsidRPr="00A73FBD">
        <w:rPr>
          <w:b/>
          <w:color w:val="FF0000"/>
        </w:rPr>
        <w:t>fourrages</w:t>
      </w:r>
      <w:r w:rsidRPr="00732C4D">
        <w:t>, il y a une grande variabilité de la digestibilité de la matière organique.</w:t>
      </w:r>
    </w:p>
    <w:p w:rsidR="00C563C7" w:rsidRPr="00732C4D" w:rsidRDefault="00C563C7" w:rsidP="00DA6627">
      <w:r w:rsidRPr="00732C4D">
        <w:rPr>
          <w:noProof/>
          <w:lang w:eastAsia="fr-FR"/>
        </w:rPr>
        <w:drawing>
          <wp:inline distT="0" distB="0" distL="0" distR="0">
            <wp:extent cx="6027638" cy="3933825"/>
            <wp:effectExtent l="1905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7146" cy="394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3C7" w:rsidRPr="00732C4D" w:rsidRDefault="00C563C7" w:rsidP="00DA6627">
      <w:r w:rsidRPr="00732C4D">
        <w:t xml:space="preserve">Cela va </w:t>
      </w:r>
      <w:r w:rsidRPr="00A73FBD">
        <w:rPr>
          <w:b/>
          <w:color w:val="FF0000"/>
        </w:rPr>
        <w:t>dépendre de l’origine du fourrage</w:t>
      </w:r>
      <w:r w:rsidRPr="00732C4D">
        <w:t xml:space="preserve">, </w:t>
      </w:r>
      <w:r w:rsidRPr="00A73FBD">
        <w:rPr>
          <w:b/>
          <w:color w:val="FF0000"/>
        </w:rPr>
        <w:t>du stade développement, de la récolte</w:t>
      </w:r>
      <w:r w:rsidRPr="00732C4D">
        <w:t xml:space="preserve">. </w:t>
      </w:r>
      <w:r w:rsidR="00A73FBD">
        <w:br/>
      </w:r>
      <w:r w:rsidRPr="00732C4D">
        <w:t xml:space="preserve">Il n’y a </w:t>
      </w:r>
      <w:r w:rsidRPr="00A73FBD">
        <w:rPr>
          <w:b/>
          <w:color w:val="00B050"/>
        </w:rPr>
        <w:t>pas les mêmes</w:t>
      </w:r>
      <w:r w:rsidRPr="00732C4D">
        <w:t xml:space="preserve"> </w:t>
      </w:r>
      <w:r w:rsidRPr="00A73FBD">
        <w:rPr>
          <w:b/>
          <w:color w:val="FF0000"/>
        </w:rPr>
        <w:t>digestibilités en fonction des différentes graminées.</w:t>
      </w:r>
      <w:r w:rsidRPr="00732C4D">
        <w:t xml:space="preserve"> La digestibilité va fluctuer en fonction de l’âge de la plante (de 90 à 50). </w:t>
      </w:r>
      <w:r w:rsidR="00A73FBD">
        <w:br/>
      </w:r>
      <w:r w:rsidR="00A73FBD" w:rsidRPr="00A73FBD">
        <w:rPr>
          <w:b/>
          <w:color w:val="FF0000"/>
        </w:rPr>
        <w:t>Digestibilité</w:t>
      </w:r>
      <w:r w:rsidR="00A73FBD">
        <w:t xml:space="preserve"> </w:t>
      </w:r>
      <w:r w:rsidR="00A73FBD" w:rsidRPr="00A73FBD">
        <w:rPr>
          <w:b/>
          <w:color w:val="00B050"/>
        </w:rPr>
        <w:t>baisse quand</w:t>
      </w:r>
      <w:r w:rsidR="00A73FBD">
        <w:t xml:space="preserve"> </w:t>
      </w:r>
      <w:r w:rsidR="00A73FBD" w:rsidRPr="00A73FBD">
        <w:rPr>
          <w:b/>
          <w:color w:val="FF0000"/>
        </w:rPr>
        <w:t>âge</w:t>
      </w:r>
      <w:r w:rsidR="00A73FBD">
        <w:t xml:space="preserve"> </w:t>
      </w:r>
      <w:r w:rsidR="00A73FBD" w:rsidRPr="00A73FBD">
        <w:rPr>
          <w:b/>
          <w:color w:val="00B050"/>
        </w:rPr>
        <w:t>augmente</w:t>
      </w:r>
    </w:p>
    <w:p w:rsidR="008C4B60" w:rsidRPr="00732C4D" w:rsidRDefault="008C4B60" w:rsidP="00DA6627">
      <w:r w:rsidRPr="00732C4D">
        <w:rPr>
          <w:noProof/>
          <w:lang w:eastAsia="fr-FR"/>
        </w:rPr>
        <w:lastRenderedPageBreak/>
        <w:drawing>
          <wp:inline distT="0" distB="0" distL="0" distR="0">
            <wp:extent cx="4524375" cy="307657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9E" w:rsidRPr="00DA6627" w:rsidRDefault="008C4B60" w:rsidP="00DA6627">
      <w:r w:rsidRPr="00732C4D">
        <w:t xml:space="preserve">Cela est </w:t>
      </w:r>
      <w:r w:rsidRPr="00A73FBD">
        <w:rPr>
          <w:b/>
          <w:color w:val="FF0000"/>
        </w:rPr>
        <w:t>lié à la cellulose brute</w:t>
      </w:r>
      <w:r w:rsidRPr="00732C4D">
        <w:t xml:space="preserve">. </w:t>
      </w:r>
      <w:r w:rsidR="00A73FBD">
        <w:br/>
      </w:r>
      <w:r w:rsidR="00A73FBD" w:rsidRPr="00A73FBD">
        <w:rPr>
          <w:b/>
          <w:color w:val="FF0000"/>
        </w:rPr>
        <w:t>Digestibilité</w:t>
      </w:r>
      <w:r w:rsidR="00A73FBD">
        <w:t xml:space="preserve"> </w:t>
      </w:r>
      <w:r w:rsidR="00A73FBD" w:rsidRPr="00A73FBD">
        <w:rPr>
          <w:b/>
          <w:color w:val="00B050"/>
        </w:rPr>
        <w:t>baisse quand</w:t>
      </w:r>
      <w:r w:rsidR="00A73FBD">
        <w:t xml:space="preserve"> </w:t>
      </w:r>
      <w:r w:rsidR="00A73FBD" w:rsidRPr="00A73FBD">
        <w:rPr>
          <w:b/>
          <w:color w:val="FF0000"/>
        </w:rPr>
        <w:t>CB</w:t>
      </w:r>
      <w:r w:rsidR="00A73FBD">
        <w:t xml:space="preserve"> </w:t>
      </w:r>
      <w:r w:rsidR="00A73FBD" w:rsidRPr="00A73FBD">
        <w:rPr>
          <w:b/>
          <w:color w:val="00B050"/>
        </w:rPr>
        <w:t>augmente</w:t>
      </w:r>
      <w:r w:rsidR="00A73FBD">
        <w:br/>
      </w:r>
      <w:r w:rsidR="006A009E" w:rsidRPr="00732C4D">
        <w:t xml:space="preserve">La </w:t>
      </w:r>
      <w:r w:rsidR="006A009E" w:rsidRPr="00A73FBD">
        <w:rPr>
          <w:b/>
          <w:color w:val="FF0000"/>
        </w:rPr>
        <w:t>digestibilité</w:t>
      </w:r>
      <w:r w:rsidR="006A009E" w:rsidRPr="00732C4D">
        <w:t xml:space="preserve"> </w:t>
      </w:r>
      <w:r w:rsidR="006A009E" w:rsidRPr="00A73FBD">
        <w:rPr>
          <w:b/>
          <w:color w:val="00B050"/>
        </w:rPr>
        <w:t>va évoluer</w:t>
      </w:r>
      <w:r w:rsidR="006A009E" w:rsidRPr="00732C4D">
        <w:t xml:space="preserve"> par rapport au mode de conserva</w:t>
      </w:r>
      <w:r w:rsidR="008C57FD" w:rsidRPr="00732C4D">
        <w:t>tion et au mode de distribution, de présentation</w:t>
      </w:r>
      <w:bookmarkStart w:id="0" w:name="_GoBack"/>
      <w:bookmarkEnd w:id="0"/>
    </w:p>
    <w:sectPr w:rsidR="006A009E" w:rsidRPr="00DA6627" w:rsidSect="00B8617A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D4F" w:rsidRDefault="00B01D4F" w:rsidP="00E55BB4">
      <w:pPr>
        <w:spacing w:after="0" w:line="240" w:lineRule="auto"/>
      </w:pPr>
      <w:r>
        <w:separator/>
      </w:r>
    </w:p>
  </w:endnote>
  <w:endnote w:type="continuationSeparator" w:id="0">
    <w:p w:rsidR="00B01D4F" w:rsidRDefault="00B01D4F" w:rsidP="00E55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4752147"/>
      <w:docPartObj>
        <w:docPartGallery w:val="Page Numbers (Bottom of Page)"/>
        <w:docPartUnique/>
      </w:docPartObj>
    </w:sdtPr>
    <w:sdtContent>
      <w:p w:rsidR="00E55BB4" w:rsidRDefault="007C2CBA">
        <w:pPr>
          <w:pStyle w:val="Pieddepage"/>
          <w:jc w:val="center"/>
        </w:pPr>
        <w:r>
          <w:fldChar w:fldCharType="begin"/>
        </w:r>
        <w:r w:rsidR="00E55BB4">
          <w:instrText>PAGE   \* MERGEFORMAT</w:instrText>
        </w:r>
        <w:r>
          <w:fldChar w:fldCharType="separate"/>
        </w:r>
        <w:r w:rsidR="007C64CE">
          <w:rPr>
            <w:noProof/>
          </w:rPr>
          <w:t>4</w:t>
        </w:r>
        <w:r>
          <w:fldChar w:fldCharType="end"/>
        </w:r>
      </w:p>
    </w:sdtContent>
  </w:sdt>
  <w:p w:rsidR="00E55BB4" w:rsidRDefault="00E55BB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D4F" w:rsidRDefault="00B01D4F" w:rsidP="00E55BB4">
      <w:pPr>
        <w:spacing w:after="0" w:line="240" w:lineRule="auto"/>
      </w:pPr>
      <w:r>
        <w:separator/>
      </w:r>
    </w:p>
  </w:footnote>
  <w:footnote w:type="continuationSeparator" w:id="0">
    <w:p w:rsidR="00B01D4F" w:rsidRDefault="00B01D4F" w:rsidP="00E55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BB4" w:rsidRDefault="00E55BB4">
    <w:pPr>
      <w:pStyle w:val="En-tte"/>
    </w:pPr>
    <w:r>
      <w:t>Chapitre 2</w:t>
    </w:r>
    <w:r>
      <w:ptab w:relativeTo="margin" w:alignment="center" w:leader="none"/>
    </w:r>
    <w:r>
      <w:ptab w:relativeTo="margin" w:alignment="right" w:leader="none"/>
    </w:r>
    <w:r>
      <w:t>Nutrition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E0B7E"/>
    <w:multiLevelType w:val="hybridMultilevel"/>
    <w:tmpl w:val="424CDDF8"/>
    <w:lvl w:ilvl="0" w:tplc="EC40EAB0">
      <w:start w:val="1"/>
      <w:numFmt w:val="upperRoman"/>
      <w:pStyle w:val="Titre1"/>
      <w:lvlText w:val="%1."/>
      <w:lvlJc w:val="left"/>
      <w:pPr>
        <w:ind w:left="1425" w:hanging="720"/>
      </w:pPr>
      <w:rPr>
        <w:rFonts w:hint="default"/>
        <w:sz w:val="32"/>
      </w:rPr>
    </w:lvl>
    <w:lvl w:ilvl="1" w:tplc="04D6C9BA">
      <w:start w:val="1"/>
      <w:numFmt w:val="decimal"/>
      <w:pStyle w:val="Titre2"/>
      <w:lvlText w:val="%2)"/>
      <w:lvlJc w:val="left"/>
      <w:pPr>
        <w:ind w:left="1785" w:hanging="360"/>
      </w:pPr>
    </w:lvl>
    <w:lvl w:ilvl="2" w:tplc="040C0017">
      <w:start w:val="1"/>
      <w:numFmt w:val="lowerLetter"/>
      <w:lvlText w:val="%3)"/>
      <w:lvlJc w:val="left"/>
      <w:pPr>
        <w:ind w:left="2505" w:hanging="180"/>
      </w:pPr>
    </w:lvl>
    <w:lvl w:ilvl="3" w:tplc="040C000F">
      <w:start w:val="1"/>
      <w:numFmt w:val="lowerLetter"/>
      <w:pStyle w:val="Titre3"/>
      <w:lvlText w:val="%4."/>
      <w:lvlJc w:val="left"/>
      <w:pPr>
        <w:ind w:left="3225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4D059CD"/>
    <w:multiLevelType w:val="hybridMultilevel"/>
    <w:tmpl w:val="B1EA0F58"/>
    <w:lvl w:ilvl="0" w:tplc="0074AB8E">
      <w:start w:val="1"/>
      <w:numFmt w:val="lowerLetter"/>
      <w:lvlText w:val="%1."/>
      <w:lvlJc w:val="left"/>
      <w:pPr>
        <w:ind w:left="2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</w:lvl>
    <w:lvl w:ilvl="3" w:tplc="040C000F" w:tentative="1">
      <w:start w:val="1"/>
      <w:numFmt w:val="decimal"/>
      <w:lvlText w:val="%4."/>
      <w:lvlJc w:val="left"/>
      <w:pPr>
        <w:ind w:left="4650" w:hanging="360"/>
      </w:p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</w:lvl>
    <w:lvl w:ilvl="6" w:tplc="040C000F" w:tentative="1">
      <w:start w:val="1"/>
      <w:numFmt w:val="decimal"/>
      <w:lvlText w:val="%7."/>
      <w:lvlJc w:val="left"/>
      <w:pPr>
        <w:ind w:left="6810" w:hanging="360"/>
      </w:p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">
    <w:nsid w:val="06F9205E"/>
    <w:multiLevelType w:val="hybridMultilevel"/>
    <w:tmpl w:val="AA8E7E4C"/>
    <w:lvl w:ilvl="0" w:tplc="C264142E">
      <w:numFmt w:val="bullet"/>
      <w:lvlText w:val="-"/>
      <w:lvlJc w:val="left"/>
      <w:pPr>
        <w:ind w:left="720" w:hanging="360"/>
      </w:pPr>
      <w:rPr>
        <w:rFonts w:ascii="Calibri" w:eastAsia="Calibri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E0169C"/>
    <w:multiLevelType w:val="hybridMultilevel"/>
    <w:tmpl w:val="9208D346"/>
    <w:lvl w:ilvl="0" w:tplc="BB680FFC">
      <w:numFmt w:val="bullet"/>
      <w:lvlText w:val="-"/>
      <w:lvlJc w:val="left"/>
      <w:pPr>
        <w:ind w:left="720" w:hanging="360"/>
      </w:pPr>
      <w:rPr>
        <w:rFonts w:ascii="Calibri" w:eastAsia="Calibri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E32D4"/>
    <w:multiLevelType w:val="hybridMultilevel"/>
    <w:tmpl w:val="931C46AA"/>
    <w:lvl w:ilvl="0" w:tplc="3BF44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544F64"/>
    <w:multiLevelType w:val="hybridMultilevel"/>
    <w:tmpl w:val="3B963ECA"/>
    <w:lvl w:ilvl="0" w:tplc="563239D6">
      <w:start w:val="1"/>
      <w:numFmt w:val="bullet"/>
      <w:pStyle w:val="Titr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BD31AD"/>
    <w:multiLevelType w:val="hybridMultilevel"/>
    <w:tmpl w:val="85A0D20E"/>
    <w:lvl w:ilvl="0" w:tplc="F8DA7ACE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EC7A97"/>
    <w:multiLevelType w:val="hybridMultilevel"/>
    <w:tmpl w:val="5E846AB6"/>
    <w:lvl w:ilvl="0" w:tplc="38A0CD0E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59680D"/>
    <w:multiLevelType w:val="hybridMultilevel"/>
    <w:tmpl w:val="171034E2"/>
    <w:lvl w:ilvl="0" w:tplc="71E256FC">
      <w:start w:val="1"/>
      <w:numFmt w:val="upperRoman"/>
      <w:lvlText w:val="%1."/>
      <w:lvlJc w:val="righ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4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5"/>
  </w:num>
  <w:num w:numId="28">
    <w:abstractNumId w:val="0"/>
  </w:num>
  <w:num w:numId="29">
    <w:abstractNumId w:val="8"/>
  </w:num>
  <w:num w:numId="30">
    <w:abstractNumId w:val="0"/>
  </w:num>
  <w:num w:numId="31">
    <w:abstractNumId w:val="0"/>
  </w:num>
  <w:num w:numId="32">
    <w:abstractNumId w:val="5"/>
  </w:num>
  <w:num w:numId="33">
    <w:abstractNumId w:val="7"/>
  </w:num>
  <w:num w:numId="34">
    <w:abstractNumId w:val="6"/>
  </w:num>
  <w:num w:numId="35">
    <w:abstractNumId w:val="0"/>
  </w:num>
  <w:num w:numId="36">
    <w:abstractNumId w:val="2"/>
  </w:num>
  <w:num w:numId="3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5BB4"/>
    <w:rsid w:val="0002048C"/>
    <w:rsid w:val="00071806"/>
    <w:rsid w:val="001748D7"/>
    <w:rsid w:val="001911FB"/>
    <w:rsid w:val="002F2D9E"/>
    <w:rsid w:val="00380104"/>
    <w:rsid w:val="00412F53"/>
    <w:rsid w:val="004230B5"/>
    <w:rsid w:val="00435A42"/>
    <w:rsid w:val="00480D2D"/>
    <w:rsid w:val="00494501"/>
    <w:rsid w:val="004F78F6"/>
    <w:rsid w:val="005640B2"/>
    <w:rsid w:val="00564897"/>
    <w:rsid w:val="00637FFC"/>
    <w:rsid w:val="006A009E"/>
    <w:rsid w:val="006B7BE1"/>
    <w:rsid w:val="00732C4D"/>
    <w:rsid w:val="00772A77"/>
    <w:rsid w:val="007A292F"/>
    <w:rsid w:val="007C2CBA"/>
    <w:rsid w:val="007C64CE"/>
    <w:rsid w:val="008C4B60"/>
    <w:rsid w:val="008C57FD"/>
    <w:rsid w:val="008E0CE3"/>
    <w:rsid w:val="009935EA"/>
    <w:rsid w:val="009D7DA6"/>
    <w:rsid w:val="00A3549C"/>
    <w:rsid w:val="00A73FBD"/>
    <w:rsid w:val="00B01D4F"/>
    <w:rsid w:val="00B8617A"/>
    <w:rsid w:val="00C563C7"/>
    <w:rsid w:val="00C60939"/>
    <w:rsid w:val="00C85449"/>
    <w:rsid w:val="00CD3FCF"/>
    <w:rsid w:val="00CF33F9"/>
    <w:rsid w:val="00D32ECD"/>
    <w:rsid w:val="00D401AB"/>
    <w:rsid w:val="00D72D1E"/>
    <w:rsid w:val="00DA6627"/>
    <w:rsid w:val="00E55BB4"/>
    <w:rsid w:val="00E6194F"/>
    <w:rsid w:val="00F401A6"/>
    <w:rsid w:val="00F40517"/>
    <w:rsid w:val="00F44AC6"/>
    <w:rsid w:val="00F45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32C4D"/>
    <w:pPr>
      <w:widowControl w:val="0"/>
      <w:numPr>
        <w:numId w:val="35"/>
      </w:numPr>
      <w:spacing w:after="0" w:line="240" w:lineRule="auto"/>
      <w:outlineLvl w:val="0"/>
    </w:pPr>
    <w:rPr>
      <w:b/>
      <w:color w:val="0070C0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939"/>
    <w:pPr>
      <w:widowControl w:val="0"/>
      <w:numPr>
        <w:ilvl w:val="1"/>
        <w:numId w:val="1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C60939"/>
    <w:pPr>
      <w:numPr>
        <w:ilvl w:val="3"/>
        <w:numId w:val="35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732C4D"/>
    <w:pPr>
      <w:outlineLvl w:val="4"/>
    </w:pPr>
    <w:rPr>
      <w:rFonts w:cstheme="minorBidi"/>
      <w:b/>
      <w:color w:val="00B050"/>
      <w:kern w:val="0"/>
      <w:sz w:val="48"/>
      <w:u w:val="single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F44AC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732C4D"/>
    <w:rPr>
      <w:rFonts w:cstheme="minorHAnsi"/>
      <w:b/>
      <w:color w:val="0070C0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732C4D"/>
    <w:rPr>
      <w:b/>
      <w:color w:val="00B050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  <w:style w:type="paragraph" w:styleId="En-tte">
    <w:name w:val="header"/>
    <w:basedOn w:val="Normal"/>
    <w:link w:val="En-tteCar"/>
    <w:uiPriority w:val="99"/>
    <w:unhideWhenUsed/>
    <w:rsid w:val="00E55B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5BB4"/>
    <w:rPr>
      <w:rFonts w:cstheme="minorHAnsi"/>
      <w:kern w:val="3"/>
    </w:rPr>
  </w:style>
  <w:style w:type="paragraph" w:styleId="Pieddepage">
    <w:name w:val="footer"/>
    <w:basedOn w:val="Normal"/>
    <w:link w:val="PieddepageCar"/>
    <w:uiPriority w:val="99"/>
    <w:unhideWhenUsed/>
    <w:rsid w:val="00E55B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5BB4"/>
    <w:rPr>
      <w:rFonts w:cstheme="minorHAnsi"/>
      <w:kern w:val="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55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5BB4"/>
    <w:rPr>
      <w:rFonts w:ascii="Tahoma" w:hAnsi="Tahoma" w:cs="Tahoma"/>
      <w:kern w:val="3"/>
      <w:sz w:val="16"/>
      <w:szCs w:val="16"/>
    </w:rPr>
  </w:style>
  <w:style w:type="character" w:customStyle="1" w:styleId="Titre6Car">
    <w:name w:val="Titre 6 Car"/>
    <w:basedOn w:val="Policepardfaut"/>
    <w:link w:val="Titre6"/>
    <w:uiPriority w:val="9"/>
    <w:rsid w:val="00F44AC6"/>
    <w:rPr>
      <w:rFonts w:asciiTheme="majorHAnsi" w:eastAsiaTheme="majorEastAsia" w:hAnsiTheme="majorHAnsi" w:cstheme="majorBidi"/>
      <w:i/>
      <w:iCs/>
      <w:color w:val="243F60" w:themeColor="accent1" w:themeShade="7F"/>
      <w:kern w:val="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44AC6"/>
    <w:pPr>
      <w:widowControl w:val="0"/>
      <w:numPr>
        <w:numId w:val="35"/>
      </w:numPr>
      <w:spacing w:after="0" w:line="240" w:lineRule="auto"/>
      <w:outlineLvl w:val="0"/>
    </w:pPr>
    <w:rPr>
      <w:b/>
      <w:color w:val="FF0066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939"/>
    <w:pPr>
      <w:widowControl w:val="0"/>
      <w:numPr>
        <w:ilvl w:val="1"/>
        <w:numId w:val="1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C60939"/>
    <w:pPr>
      <w:numPr>
        <w:ilvl w:val="3"/>
        <w:numId w:val="35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F44AC6"/>
    <w:pPr>
      <w:outlineLvl w:val="4"/>
    </w:pPr>
    <w:rPr>
      <w:rFonts w:cstheme="minorBidi"/>
      <w:b/>
      <w:color w:val="993366"/>
      <w:kern w:val="0"/>
      <w:sz w:val="48"/>
      <w:u w:val="single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F44AC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F44AC6"/>
    <w:rPr>
      <w:rFonts w:cstheme="minorHAnsi"/>
      <w:b/>
      <w:color w:val="FF0066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F44AC6"/>
    <w:rPr>
      <w:b/>
      <w:color w:val="993366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  <w:style w:type="paragraph" w:styleId="En-tte">
    <w:name w:val="header"/>
    <w:basedOn w:val="Normal"/>
    <w:link w:val="En-tteCar"/>
    <w:uiPriority w:val="99"/>
    <w:unhideWhenUsed/>
    <w:rsid w:val="00E55B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5BB4"/>
    <w:rPr>
      <w:rFonts w:cstheme="minorHAnsi"/>
      <w:kern w:val="3"/>
    </w:rPr>
  </w:style>
  <w:style w:type="paragraph" w:styleId="Pieddepage">
    <w:name w:val="footer"/>
    <w:basedOn w:val="Normal"/>
    <w:link w:val="PieddepageCar"/>
    <w:uiPriority w:val="99"/>
    <w:unhideWhenUsed/>
    <w:rsid w:val="00E55B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5BB4"/>
    <w:rPr>
      <w:rFonts w:cstheme="minorHAnsi"/>
      <w:kern w:val="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55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5BB4"/>
    <w:rPr>
      <w:rFonts w:ascii="Tahoma" w:hAnsi="Tahoma" w:cs="Tahoma"/>
      <w:kern w:val="3"/>
      <w:sz w:val="16"/>
      <w:szCs w:val="16"/>
    </w:rPr>
  </w:style>
  <w:style w:type="character" w:customStyle="1" w:styleId="Titre6Car">
    <w:name w:val="Titre 6 Car"/>
    <w:basedOn w:val="Policepardfaut"/>
    <w:link w:val="Titre6"/>
    <w:uiPriority w:val="9"/>
    <w:rsid w:val="00F44AC6"/>
    <w:rPr>
      <w:rFonts w:asciiTheme="majorHAnsi" w:eastAsiaTheme="majorEastAsia" w:hAnsiTheme="majorHAnsi" w:cstheme="majorBidi"/>
      <w:i/>
      <w:iCs/>
      <w:color w:val="243F60" w:themeColor="accent1" w:themeShade="7F"/>
      <w:kern w:val="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D8AF46-1E3E-4239-87B4-6AACE2C6E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523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Quitterie</dc:creator>
  <cp:lastModifiedBy>Matthieu</cp:lastModifiedBy>
  <cp:revision>4</cp:revision>
  <dcterms:created xsi:type="dcterms:W3CDTF">2014-01-25T17:07:00Z</dcterms:created>
  <dcterms:modified xsi:type="dcterms:W3CDTF">2014-05-02T12:33:00Z</dcterms:modified>
</cp:coreProperties>
</file>