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82F" w:rsidRPr="007B582F" w:rsidRDefault="007B582F" w:rsidP="007B582F">
      <w:pPr>
        <w:pStyle w:val="Sansinterligne"/>
        <w:jc w:val="center"/>
        <w:rPr>
          <w:color w:val="002060"/>
          <w:sz w:val="28"/>
          <w:szCs w:val="28"/>
          <w:u w:val="single"/>
          <w:lang w:eastAsia="fr-FR"/>
        </w:rPr>
      </w:pPr>
      <w:r w:rsidRPr="007B582F">
        <w:rPr>
          <w:color w:val="002060"/>
          <w:sz w:val="28"/>
          <w:szCs w:val="28"/>
          <w:u w:val="single"/>
          <w:lang w:eastAsia="fr-FR"/>
        </w:rPr>
        <w:t>AZOTE TOTAL</w:t>
      </w:r>
    </w:p>
    <w:p w:rsidR="007B582F" w:rsidRDefault="007B582F">
      <w:pPr>
        <w:pStyle w:val="Sansinterligne"/>
        <w:rPr>
          <w:lang w:eastAsia="fr-FR"/>
        </w:rPr>
      </w:pPr>
    </w:p>
    <w:p w:rsidR="001C1D99" w:rsidRDefault="00DB4879" w:rsidP="007B582F">
      <w:pPr>
        <w:pStyle w:val="Sansinterligne"/>
        <w:spacing w:after="0"/>
        <w:ind w:firstLine="709"/>
      </w:pPr>
      <w:r>
        <w:rPr>
          <w:lang w:eastAsia="fr-FR"/>
        </w:rPr>
        <w:t>Le principe de cette méthode est de mesurer par dosage la quantité d’azote total présente dans un échantillon de terre du sol analysé.</w:t>
      </w:r>
    </w:p>
    <w:p w:rsidR="001C1D99" w:rsidRDefault="00DB4879" w:rsidP="007B582F">
      <w:pPr>
        <w:pStyle w:val="Standard"/>
        <w:spacing w:after="0"/>
      </w:pPr>
      <w:r>
        <w:t>Cette méthode se décompose en trois étapes.</w:t>
      </w:r>
    </w:p>
    <w:p w:rsidR="007B582F" w:rsidRDefault="007B582F" w:rsidP="007B582F">
      <w:pPr>
        <w:pStyle w:val="Standard"/>
        <w:spacing w:after="0"/>
        <w:ind w:firstLine="709"/>
      </w:pPr>
    </w:p>
    <w:p w:rsidR="001C1D99" w:rsidRDefault="00DB4879" w:rsidP="007B582F">
      <w:pPr>
        <w:pStyle w:val="Standard"/>
        <w:spacing w:after="0"/>
        <w:ind w:firstLine="709"/>
      </w:pPr>
      <w:r>
        <w:t>La première étape est la minéralisation de l’azote organique présent dans l’échantillon grâce à l’acide sulfurique chaud en excès. Ce dernier est un acide fort qui va dégrader  l’azote en ions ammoniums  (NH</w:t>
      </w:r>
      <w:r>
        <w:rPr>
          <w:vertAlign w:val="subscript"/>
        </w:rPr>
        <w:t>4</w:t>
      </w:r>
      <w:r>
        <w:rPr>
          <w:vertAlign w:val="superscript"/>
        </w:rPr>
        <w:t>+</w:t>
      </w:r>
      <w:r>
        <w:t>).</w:t>
      </w:r>
    </w:p>
    <w:p w:rsidR="007B582F" w:rsidRDefault="007B582F" w:rsidP="007B582F">
      <w:pPr>
        <w:pStyle w:val="Standard"/>
        <w:spacing w:after="0"/>
      </w:pPr>
    </w:p>
    <w:p w:rsidR="001C1D99" w:rsidRDefault="00DB4879" w:rsidP="007B582F">
      <w:pPr>
        <w:pStyle w:val="Standard"/>
        <w:spacing w:after="0"/>
      </w:pPr>
      <w:r>
        <w:t>2NH</w:t>
      </w:r>
      <w:r>
        <w:rPr>
          <w:vertAlign w:val="subscript"/>
        </w:rPr>
        <w:t>3</w:t>
      </w:r>
      <w:r>
        <w:t xml:space="preserve"> + H</w:t>
      </w:r>
      <w:r>
        <w:rPr>
          <w:vertAlign w:val="subscript"/>
        </w:rPr>
        <w:t>2</w:t>
      </w:r>
      <w:r>
        <w:t>SO</w:t>
      </w:r>
      <w:r>
        <w:rPr>
          <w:vertAlign w:val="subscript"/>
        </w:rPr>
        <w:t>4</w:t>
      </w:r>
      <w:r>
        <w:t xml:space="preserve">  -&gt;  2NH</w:t>
      </w:r>
      <w:r>
        <w:rPr>
          <w:vertAlign w:val="subscript"/>
        </w:rPr>
        <w:t>4</w:t>
      </w:r>
      <w:r>
        <w:rPr>
          <w:vertAlign w:val="superscript"/>
        </w:rPr>
        <w:t>+</w:t>
      </w:r>
      <w:r>
        <w:t xml:space="preserve"> + SO</w:t>
      </w:r>
      <w:r>
        <w:rPr>
          <w:vertAlign w:val="subscript"/>
        </w:rPr>
        <w:t>4</w:t>
      </w:r>
      <w:r>
        <w:rPr>
          <w:vertAlign w:val="superscript"/>
        </w:rPr>
        <w:t>2-</w:t>
      </w:r>
      <w:r>
        <w:t xml:space="preserve"> (1)</w:t>
      </w:r>
    </w:p>
    <w:p w:rsidR="007B582F" w:rsidRDefault="007B582F" w:rsidP="007B582F">
      <w:pPr>
        <w:pStyle w:val="Standard"/>
        <w:spacing w:after="0"/>
      </w:pPr>
    </w:p>
    <w:p w:rsidR="001C1D99" w:rsidRDefault="00DB4879" w:rsidP="007B582F">
      <w:pPr>
        <w:pStyle w:val="Standard"/>
        <w:spacing w:after="0"/>
      </w:pPr>
      <w:r>
        <w:t>Pour cela on place dans un matras un échantillon de terre, un activateur de minéralisation qui est un catalyseur qui va accélérer la réaction, des billes de verre pour homogénéiser la température et l’acide sulfurique. On procède on chauffage de l’ensemble  jusqu’à obtenir un noircissement de la solution et des vapeurs blanches dans le matras. Le chauffage s’effectue sous hotte avec un système permettant de piéger les vapeurs toxiques et irritantes qui sont produites par la décomposition de l’acide sulfurique en SO</w:t>
      </w:r>
      <w:r>
        <w:rPr>
          <w:vertAlign w:val="subscript"/>
        </w:rPr>
        <w:t>2</w:t>
      </w:r>
      <w:r>
        <w:t xml:space="preserve"> et SO</w:t>
      </w:r>
      <w:r>
        <w:rPr>
          <w:vertAlign w:val="subscript"/>
        </w:rPr>
        <w:t>3</w:t>
      </w:r>
      <w:r>
        <w:t>. (2)</w:t>
      </w:r>
    </w:p>
    <w:p w:rsidR="007B582F" w:rsidRDefault="007B582F" w:rsidP="007B582F">
      <w:pPr>
        <w:pStyle w:val="Standard"/>
        <w:spacing w:after="0"/>
        <w:ind w:firstLine="709"/>
      </w:pPr>
    </w:p>
    <w:p w:rsidR="001C1D99" w:rsidRDefault="00DB4879" w:rsidP="007B582F">
      <w:pPr>
        <w:pStyle w:val="Standard"/>
        <w:spacing w:after="0"/>
        <w:ind w:firstLine="709"/>
      </w:pPr>
      <w:r>
        <w:t>La deuxième étape consiste à faire passer les ions ammoniums sous forme d’ammoniac NH</w:t>
      </w:r>
      <w:r>
        <w:rPr>
          <w:vertAlign w:val="subscript"/>
        </w:rPr>
        <w:t>3</w:t>
      </w:r>
      <w:r>
        <w:t xml:space="preserve"> (forme gazeuse) puis de les récupérer. Il est nécessaire pour cela de neutraliser la solution, car il y a avec les ions ammoniums de l’acide sulfurique, puis de l’alcalinisé pour avoir de l’ammoniac. On fait cela grâce à des ajouts de soude dans le matras. La soude est en excès donc tous les ions ammoniums vont réagir avec  elle pour former de l’ammoniac (apparition d’une couleur marron).</w:t>
      </w:r>
    </w:p>
    <w:p w:rsidR="007B582F" w:rsidRDefault="007B582F" w:rsidP="007B582F">
      <w:pPr>
        <w:pStyle w:val="Standard"/>
        <w:spacing w:after="0"/>
      </w:pPr>
    </w:p>
    <w:p w:rsidR="001C1D99" w:rsidRDefault="00DB4879" w:rsidP="007B582F">
      <w:pPr>
        <w:pStyle w:val="Standard"/>
        <w:spacing w:after="0"/>
      </w:pPr>
      <w:r>
        <w:t>NH</w:t>
      </w:r>
      <w:r>
        <w:rPr>
          <w:vertAlign w:val="subscript"/>
        </w:rPr>
        <w:t>4</w:t>
      </w:r>
      <w:r>
        <w:rPr>
          <w:vertAlign w:val="superscript"/>
        </w:rPr>
        <w:t>+</w:t>
      </w:r>
      <w:r>
        <w:t xml:space="preserve"> + OH</w:t>
      </w:r>
      <w:r>
        <w:rPr>
          <w:vertAlign w:val="superscript"/>
        </w:rPr>
        <w:t>-</w:t>
      </w:r>
      <w:r>
        <w:t xml:space="preserve"> -&gt; NH</w:t>
      </w:r>
      <w:r>
        <w:rPr>
          <w:vertAlign w:val="subscript"/>
        </w:rPr>
        <w:t>3</w:t>
      </w:r>
      <w:r>
        <w:t xml:space="preserve"> + H</w:t>
      </w:r>
      <w:r>
        <w:rPr>
          <w:vertAlign w:val="subscript"/>
        </w:rPr>
        <w:t>2</w:t>
      </w:r>
      <w:r>
        <w:t>0 (1)</w:t>
      </w:r>
    </w:p>
    <w:p w:rsidR="007B582F" w:rsidRDefault="007B582F" w:rsidP="007B582F">
      <w:pPr>
        <w:pStyle w:val="Standard"/>
        <w:spacing w:after="0"/>
      </w:pPr>
    </w:p>
    <w:p w:rsidR="001C1D99" w:rsidRDefault="00DB4879" w:rsidP="007B582F">
      <w:pPr>
        <w:pStyle w:val="Standard"/>
        <w:spacing w:after="0"/>
      </w:pPr>
      <w:r>
        <w:t xml:space="preserve">L’ammoniac formé va être entrainé par la vapeur d’eau par distillation. Comme il est volatil on va le capturer dans une solution d’acide borique. Cependant il faut faire le dosage assez rapidement pour que l’ammoniac </w:t>
      </w:r>
      <w:r w:rsidR="007B582F">
        <w:t>n’ait</w:t>
      </w:r>
      <w:r>
        <w:t xml:space="preserve"> pas le temps de s’évaporer.</w:t>
      </w:r>
    </w:p>
    <w:p w:rsidR="007B582F" w:rsidRDefault="007B582F" w:rsidP="007B582F">
      <w:pPr>
        <w:pStyle w:val="Standard"/>
        <w:spacing w:after="0"/>
        <w:ind w:firstLine="709"/>
      </w:pPr>
    </w:p>
    <w:p w:rsidR="001C1D99" w:rsidRDefault="00DB4879" w:rsidP="007B582F">
      <w:pPr>
        <w:pStyle w:val="Standard"/>
        <w:spacing w:after="0"/>
        <w:ind w:firstLine="709"/>
      </w:pPr>
      <w:r>
        <w:t xml:space="preserve">La dernière étape est le titrage de l’ammoniac par l’acide sulfurique en présence d’un indicateur coloré : l’indicateur de </w:t>
      </w:r>
      <w:proofErr w:type="spellStart"/>
      <w:r>
        <w:t>Tashiro</w:t>
      </w:r>
      <w:proofErr w:type="spellEnd"/>
      <w:r>
        <w:t>. On obtient ainsi le volume équivalent d’acide sulfurique qui va permettre de trouver la quantité d’azote total.</w:t>
      </w:r>
      <w:bookmarkStart w:id="0" w:name="_GoBack"/>
      <w:bookmarkEnd w:id="0"/>
    </w:p>
    <w:p w:rsidR="007B582F" w:rsidRDefault="007B582F" w:rsidP="007B582F">
      <w:pPr>
        <w:pStyle w:val="Standard"/>
        <w:spacing w:after="0"/>
      </w:pPr>
    </w:p>
    <w:p w:rsidR="001C1D99" w:rsidRDefault="00DB4879" w:rsidP="007B582F">
      <w:pPr>
        <w:pStyle w:val="Standard"/>
        <w:spacing w:after="0"/>
      </w:pPr>
      <w:r>
        <w:t>NH</w:t>
      </w:r>
      <w:r>
        <w:rPr>
          <w:vertAlign w:val="subscript"/>
        </w:rPr>
        <w:t xml:space="preserve">3 </w:t>
      </w:r>
      <w:r>
        <w:t>+ H</w:t>
      </w:r>
      <w:r>
        <w:rPr>
          <w:vertAlign w:val="superscript"/>
        </w:rPr>
        <w:t>+</w:t>
      </w:r>
      <w:r>
        <w:t xml:space="preserve"> -&gt; NH</w:t>
      </w:r>
      <w:r>
        <w:rPr>
          <w:vertAlign w:val="subscript"/>
        </w:rPr>
        <w:t>4</w:t>
      </w:r>
      <w:r>
        <w:rPr>
          <w:vertAlign w:val="superscript"/>
        </w:rPr>
        <w:t>+</w:t>
      </w:r>
      <w:r>
        <w:t xml:space="preserve"> (1)</w:t>
      </w:r>
    </w:p>
    <w:p w:rsidR="001C1D99" w:rsidRDefault="001C1D99" w:rsidP="007B582F">
      <w:pPr>
        <w:pStyle w:val="Standard"/>
        <w:spacing w:after="0"/>
      </w:pPr>
    </w:p>
    <w:p w:rsidR="007B582F" w:rsidRDefault="007B582F">
      <w:pPr>
        <w:pStyle w:val="Sansinterligne"/>
        <w:rPr>
          <w:lang w:eastAsia="fr-FR"/>
        </w:rPr>
      </w:pPr>
    </w:p>
    <w:p w:rsidR="001C1D99" w:rsidRDefault="00DB4879">
      <w:pPr>
        <w:pStyle w:val="Sansinterligne"/>
      </w:pPr>
      <w:r>
        <w:rPr>
          <w:lang w:eastAsia="fr-FR"/>
        </w:rPr>
        <w:t>Sources :</w:t>
      </w:r>
    </w:p>
    <w:p w:rsidR="001C1D99" w:rsidRDefault="00803B06">
      <w:pPr>
        <w:pStyle w:val="Sansinterligne"/>
        <w:numPr>
          <w:ilvl w:val="0"/>
          <w:numId w:val="2"/>
        </w:numPr>
      </w:pPr>
      <w:hyperlink r:id="rId7" w:history="1">
        <w:r w:rsidR="00DB4879">
          <w:t>http://fbabou.files.wordpress.com/2010/02/principe-kjeldahl.pdf</w:t>
        </w:r>
      </w:hyperlink>
    </w:p>
    <w:p w:rsidR="001C1D99" w:rsidRDefault="00DB4879" w:rsidP="007B582F">
      <w:pPr>
        <w:pStyle w:val="Sansinterligne"/>
        <w:numPr>
          <w:ilvl w:val="0"/>
          <w:numId w:val="1"/>
        </w:numPr>
      </w:pPr>
      <w:r w:rsidRPr="007B582F">
        <w:rPr>
          <w:color w:val="00000A"/>
        </w:rPr>
        <w:t xml:space="preserve">Marc Pansu, L’analyse du sol, Edition </w:t>
      </w:r>
      <w:proofErr w:type="spellStart"/>
      <w:r w:rsidRPr="007B582F">
        <w:rPr>
          <w:color w:val="00000A"/>
        </w:rPr>
        <w:t>Springer</w:t>
      </w:r>
      <w:proofErr w:type="gramStart"/>
      <w:r w:rsidRPr="007B582F">
        <w:rPr>
          <w:color w:val="00000A"/>
        </w:rPr>
        <w:t>,p344</w:t>
      </w:r>
      <w:proofErr w:type="spellEnd"/>
      <w:proofErr w:type="gramEnd"/>
      <w:r w:rsidRPr="007B582F">
        <w:rPr>
          <w:color w:val="00000A"/>
        </w:rPr>
        <w:t>, 993p</w:t>
      </w:r>
    </w:p>
    <w:sectPr w:rsidR="001C1D99" w:rsidSect="007B582F">
      <w:headerReference w:type="default" r:id="rId8"/>
      <w:pgSz w:w="11906" w:h="16838"/>
      <w:pgMar w:top="1417" w:right="1417" w:bottom="568"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1DC" w:rsidRDefault="00C321DC" w:rsidP="001C1D99">
      <w:pPr>
        <w:spacing w:after="0" w:line="240" w:lineRule="auto"/>
      </w:pPr>
      <w:r>
        <w:separator/>
      </w:r>
    </w:p>
  </w:endnote>
  <w:endnote w:type="continuationSeparator" w:id="0">
    <w:p w:rsidR="00C321DC" w:rsidRDefault="00C321DC" w:rsidP="001C1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ejaVu Sans">
    <w:altName w:val="Times New Roman"/>
    <w:charset w:val="00"/>
    <w:family w:val="auto"/>
    <w:pitch w:val="variable"/>
    <w:sig w:usb0="00000000" w:usb1="00000000" w:usb2="00000000" w:usb3="00000000" w:csb0="00000000" w:csb1="00000000"/>
  </w:font>
  <w:font w:name="F">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1DC" w:rsidRDefault="00C321DC" w:rsidP="001C1D99">
      <w:pPr>
        <w:spacing w:after="0" w:line="240" w:lineRule="auto"/>
      </w:pPr>
      <w:r w:rsidRPr="001C1D99">
        <w:rPr>
          <w:color w:val="000000"/>
        </w:rPr>
        <w:separator/>
      </w:r>
    </w:p>
  </w:footnote>
  <w:footnote w:type="continuationSeparator" w:id="0">
    <w:p w:rsidR="00C321DC" w:rsidRDefault="00C321DC" w:rsidP="001C1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82F" w:rsidRDefault="007B582F" w:rsidP="007B582F">
    <w:pPr>
      <w:pStyle w:val="En-tte"/>
      <w:rPr>
        <w:rStyle w:val="Emphaseintense"/>
        <w:rFonts w:asciiTheme="minorHAnsi" w:hAnsiTheme="minorHAnsi" w:cstheme="minorHAnsi"/>
        <w:b w:val="0"/>
      </w:rPr>
    </w:pPr>
    <w:r>
      <w:rPr>
        <w:rStyle w:val="Emphaseintense"/>
        <w:rFonts w:asciiTheme="minorHAnsi" w:hAnsiTheme="minorHAnsi" w:cstheme="minorHAnsi"/>
      </w:rPr>
      <w:t>Coline ODE</w:t>
    </w:r>
    <w:r>
      <w:rPr>
        <w:rStyle w:val="Emphaseintense"/>
        <w:rFonts w:asciiTheme="minorHAnsi" w:hAnsiTheme="minorHAnsi" w:cstheme="minorHAnsi"/>
      </w:rPr>
      <w:tab/>
    </w:r>
    <w:r>
      <w:rPr>
        <w:rStyle w:val="Emphaseintense"/>
        <w:rFonts w:asciiTheme="minorHAnsi" w:hAnsiTheme="minorHAnsi" w:cstheme="minorHAnsi"/>
      </w:rPr>
      <w:tab/>
      <w:t>G4</w:t>
    </w:r>
  </w:p>
  <w:p w:rsidR="007B582F" w:rsidRDefault="007B582F" w:rsidP="007B582F">
    <w:pPr>
      <w:pStyle w:val="En-tte"/>
      <w:rPr>
        <w:rStyle w:val="Emphaseintense"/>
        <w:rFonts w:asciiTheme="minorHAnsi" w:hAnsiTheme="minorHAnsi" w:cstheme="minorHAnsi"/>
        <w:b w:val="0"/>
      </w:rPr>
    </w:pPr>
    <w:r>
      <w:rPr>
        <w:rStyle w:val="Emphaseintense"/>
        <w:rFonts w:asciiTheme="minorHAnsi" w:hAnsiTheme="minorHAnsi" w:cstheme="minorHAnsi"/>
      </w:rPr>
      <w:t>Alice PERROUSSET</w:t>
    </w:r>
    <w:r>
      <w:rPr>
        <w:rStyle w:val="Emphaseintense"/>
        <w:rFonts w:asciiTheme="minorHAnsi" w:hAnsiTheme="minorHAnsi" w:cstheme="minorHAnsi"/>
      </w:rPr>
      <w:tab/>
    </w:r>
    <w:r>
      <w:rPr>
        <w:rStyle w:val="Emphaseintense"/>
        <w:rFonts w:asciiTheme="minorHAnsi" w:hAnsiTheme="minorHAnsi" w:cstheme="minorHAnsi"/>
      </w:rPr>
      <w:tab/>
      <w:t>16/12/11</w:t>
    </w:r>
  </w:p>
  <w:p w:rsidR="007B582F" w:rsidRDefault="007B582F" w:rsidP="007B582F">
    <w:pPr>
      <w:pStyle w:val="En-tte"/>
      <w:rPr>
        <w:rStyle w:val="Emphaseintense"/>
        <w:rFonts w:asciiTheme="minorHAnsi" w:hAnsiTheme="minorHAnsi" w:cstheme="minorHAnsi"/>
        <w:b w:val="0"/>
      </w:rPr>
    </w:pPr>
    <w:r>
      <w:rPr>
        <w:rStyle w:val="Emphaseintense"/>
        <w:rFonts w:asciiTheme="minorHAnsi" w:hAnsiTheme="minorHAnsi" w:cstheme="minorHAnsi"/>
      </w:rPr>
      <w:t>Claire BOYER</w:t>
    </w:r>
  </w:p>
  <w:p w:rsidR="007B582F" w:rsidRDefault="007B582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51069"/>
    <w:multiLevelType w:val="multilevel"/>
    <w:tmpl w:val="64F8D73E"/>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0"/>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1C1D99"/>
    <w:rsid w:val="001C1D99"/>
    <w:rsid w:val="007B582F"/>
    <w:rsid w:val="00803B06"/>
    <w:rsid w:val="00C07A53"/>
    <w:rsid w:val="00C321DC"/>
    <w:rsid w:val="00DB48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ejaVu Sans"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0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C1D99"/>
    <w:pPr>
      <w:widowControl/>
    </w:pPr>
  </w:style>
  <w:style w:type="paragraph" w:customStyle="1" w:styleId="Heading">
    <w:name w:val="Heading"/>
    <w:basedOn w:val="Standard"/>
    <w:next w:val="Textbody"/>
    <w:rsid w:val="001C1D99"/>
    <w:pPr>
      <w:keepNext/>
      <w:spacing w:before="240" w:after="120"/>
    </w:pPr>
    <w:rPr>
      <w:rFonts w:ascii="Arial" w:hAnsi="Arial" w:cs="Lohit Hindi"/>
      <w:sz w:val="28"/>
      <w:szCs w:val="28"/>
    </w:rPr>
  </w:style>
  <w:style w:type="paragraph" w:customStyle="1" w:styleId="Textbody">
    <w:name w:val="Text body"/>
    <w:basedOn w:val="Standard"/>
    <w:rsid w:val="001C1D99"/>
    <w:pPr>
      <w:spacing w:after="120"/>
    </w:pPr>
  </w:style>
  <w:style w:type="paragraph" w:styleId="Liste">
    <w:name w:val="List"/>
    <w:basedOn w:val="Textbody"/>
    <w:rsid w:val="001C1D99"/>
    <w:rPr>
      <w:rFonts w:cs="Lohit Hindi"/>
      <w:sz w:val="24"/>
    </w:rPr>
  </w:style>
  <w:style w:type="paragraph" w:customStyle="1" w:styleId="Caption">
    <w:name w:val="Caption"/>
    <w:basedOn w:val="Standard"/>
    <w:rsid w:val="001C1D99"/>
    <w:pPr>
      <w:suppressLineNumbers/>
      <w:spacing w:before="120" w:after="120"/>
    </w:pPr>
    <w:rPr>
      <w:rFonts w:cs="Lohit Hindi"/>
      <w:i/>
      <w:iCs/>
      <w:sz w:val="24"/>
      <w:szCs w:val="24"/>
    </w:rPr>
  </w:style>
  <w:style w:type="paragraph" w:customStyle="1" w:styleId="Index">
    <w:name w:val="Index"/>
    <w:basedOn w:val="Standard"/>
    <w:rsid w:val="001C1D99"/>
    <w:pPr>
      <w:suppressLineNumbers/>
    </w:pPr>
    <w:rPr>
      <w:rFonts w:cs="Lohit Hindi"/>
      <w:sz w:val="24"/>
    </w:rPr>
  </w:style>
  <w:style w:type="paragraph" w:styleId="Sansinterligne">
    <w:name w:val="No Spacing"/>
    <w:rsid w:val="001C1D99"/>
  </w:style>
  <w:style w:type="character" w:customStyle="1" w:styleId="Internetlink">
    <w:name w:val="Internet link"/>
    <w:basedOn w:val="Policepardfaut"/>
    <w:rsid w:val="001C1D99"/>
    <w:rPr>
      <w:color w:val="0000FF"/>
      <w:u w:val="single"/>
    </w:rPr>
  </w:style>
  <w:style w:type="character" w:styleId="CitationHTML">
    <w:name w:val="HTML Cite"/>
    <w:basedOn w:val="Policepardfaut"/>
    <w:rsid w:val="001C1D99"/>
  </w:style>
  <w:style w:type="numbering" w:customStyle="1" w:styleId="WWNum1">
    <w:name w:val="WWNum1"/>
    <w:basedOn w:val="Aucuneliste"/>
    <w:rsid w:val="001C1D99"/>
    <w:pPr>
      <w:numPr>
        <w:numId w:val="1"/>
      </w:numPr>
    </w:pPr>
  </w:style>
  <w:style w:type="paragraph" w:styleId="En-tte">
    <w:name w:val="header"/>
    <w:basedOn w:val="Normal"/>
    <w:link w:val="En-tteCar"/>
    <w:semiHidden/>
    <w:unhideWhenUsed/>
    <w:rsid w:val="007B582F"/>
    <w:pPr>
      <w:tabs>
        <w:tab w:val="center" w:pos="4536"/>
        <w:tab w:val="right" w:pos="9072"/>
      </w:tabs>
      <w:spacing w:after="0" w:line="240" w:lineRule="auto"/>
    </w:pPr>
  </w:style>
  <w:style w:type="character" w:customStyle="1" w:styleId="En-tteCar">
    <w:name w:val="En-tête Car"/>
    <w:basedOn w:val="Policepardfaut"/>
    <w:link w:val="En-tte"/>
    <w:semiHidden/>
    <w:rsid w:val="007B582F"/>
  </w:style>
  <w:style w:type="paragraph" w:styleId="Pieddepage">
    <w:name w:val="footer"/>
    <w:basedOn w:val="Normal"/>
    <w:link w:val="PieddepageCar"/>
    <w:uiPriority w:val="99"/>
    <w:semiHidden/>
    <w:unhideWhenUsed/>
    <w:rsid w:val="007B582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B582F"/>
  </w:style>
  <w:style w:type="character" w:styleId="Emphaseintense">
    <w:name w:val="Intense Emphasis"/>
    <w:basedOn w:val="Policepardfaut"/>
    <w:uiPriority w:val="21"/>
    <w:qFormat/>
    <w:rsid w:val="007B582F"/>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73661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babou.files.wordpress.com/2010/02/principe-kjeldah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1876</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Claire</cp:lastModifiedBy>
  <cp:revision>3</cp:revision>
  <dcterms:created xsi:type="dcterms:W3CDTF">2011-12-16T17:11:00Z</dcterms:created>
  <dcterms:modified xsi:type="dcterms:W3CDTF">2011-12-16T17:16:00Z</dcterms:modified>
</cp:coreProperties>
</file>