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GALLAND Thomas</w:t>
      </w:r>
      <w:r w:rsidRPr="00B11C8F">
        <w:rPr>
          <w:lang w:val="en-US"/>
        </w:rPr>
        <w:tab/>
        <w:t>Promo 44</w:t>
      </w:r>
    </w:p>
    <w:p w:rsidR="00B11C8F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PLATZER Victor</w:t>
      </w:r>
      <w:r w:rsidRPr="00B11C8F">
        <w:rPr>
          <w:lang w:val="en-US"/>
        </w:rPr>
        <w:tab/>
      </w:r>
      <w:proofErr w:type="spellStart"/>
      <w:r w:rsidRPr="00B11C8F">
        <w:rPr>
          <w:lang w:val="en-US"/>
        </w:rPr>
        <w:t>Groupe</w:t>
      </w:r>
      <w:proofErr w:type="spellEnd"/>
      <w:r w:rsidRPr="00B11C8F">
        <w:rPr>
          <w:lang w:val="en-US"/>
        </w:rPr>
        <w:t xml:space="preserve"> 1</w:t>
      </w:r>
    </w:p>
    <w:p w:rsidR="00B11C8F" w:rsidRDefault="00B11C8F" w:rsidP="00B11C8F">
      <w:pPr>
        <w:tabs>
          <w:tab w:val="decimal" w:pos="9072"/>
        </w:tabs>
        <w:spacing w:line="240" w:lineRule="auto"/>
      </w:pPr>
      <w:r>
        <w:t>PERRIER Jean-Baptiste</w:t>
      </w: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 w:rsidRPr="00B11C8F">
        <w:rPr>
          <w:b/>
          <w:sz w:val="32"/>
        </w:rPr>
        <w:t>Compte-rendu de travaux pratiques de chimie appliquée</w:t>
      </w:r>
    </w:p>
    <w:p w:rsidR="00EA0F51" w:rsidRPr="00B11C8F" w:rsidRDefault="00EA0F51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>
        <w:rPr>
          <w:b/>
          <w:sz w:val="32"/>
        </w:rPr>
        <w:t>Dosages des matières grasses d'un aliment</w:t>
      </w:r>
    </w:p>
    <w:p w:rsidR="00B11C8F" w:rsidRDefault="00B11C8F" w:rsidP="00B11C8F">
      <w:pPr>
        <w:tabs>
          <w:tab w:val="decimal" w:pos="9072"/>
        </w:tabs>
      </w:pPr>
    </w:p>
    <w:p w:rsidR="00B11C8F" w:rsidRDefault="00B11C8F" w:rsidP="00B11C8F">
      <w:pPr>
        <w:tabs>
          <w:tab w:val="decimal" w:pos="9072"/>
        </w:tabs>
      </w:pPr>
    </w:p>
    <w:p w:rsidR="00B11C8F" w:rsidRDefault="00EA0F51" w:rsidP="00B11C8F">
      <w:pPr>
        <w:tabs>
          <w:tab w:val="decimal" w:pos="9072"/>
        </w:tabs>
      </w:pPr>
      <w:r>
        <w:t xml:space="preserve">La méthode </w:t>
      </w:r>
      <w:proofErr w:type="spellStart"/>
      <w:r>
        <w:t>Soxhlet</w:t>
      </w:r>
      <w:proofErr w:type="spellEnd"/>
      <w:r>
        <w:t xml:space="preserve"> d'extraction des matières grasses d'un aliment solide est considérée comme la méthode de référence. C'est  une méthode précise basée sur la gravimétrie mais contrainte à un appareillage spécifique couteux</w:t>
      </w:r>
      <w:r w:rsidR="0097777A">
        <w:t xml:space="preserve"> (balance de précision, extracteur de </w:t>
      </w:r>
      <w:proofErr w:type="spellStart"/>
      <w:r w:rsidR="0097777A">
        <w:t>Soxhlet</w:t>
      </w:r>
      <w:proofErr w:type="spellEnd"/>
      <w:r w:rsidR="0097777A">
        <w:t>, bécher spécifiques) mais qui une fois acquis, est peu onéreuse à mettre en œuvre (solvant et cartouches de cellulose devant être renouvelée mais peu onéreux)</w:t>
      </w:r>
      <w:r w:rsidR="00BE319E">
        <w:t xml:space="preserve"> si ce n'est que sa réalisation </w:t>
      </w:r>
      <w:r w:rsidR="0097777A">
        <w:t>est longue car plusieurs heures d'extractions sont nécessaire</w:t>
      </w:r>
      <w:r w:rsidR="00BE319E">
        <w:t xml:space="preserve"> (coût de la main d'œuvre)</w:t>
      </w:r>
      <w:r w:rsidR="0097777A">
        <w:t xml:space="preserve">. La précision peut être influé par le fait que l'aliment doit être finement broyé afin d'optimiser l'extraction, il faut prêter attention à la quantité de solvant extracteur restant dans l'appareil et il faut </w:t>
      </w:r>
      <w:r w:rsidR="00BE319E">
        <w:t>s'assurer qu'a la pesée finale, il soit complètement évaporé. Ces conditions nécessitent une attention sinon constante, du moins soutenue des manipulateurs lors de l'extraction et lors des préparation et pesées.</w:t>
      </w:r>
    </w:p>
    <w:p w:rsidR="00BE319E" w:rsidRDefault="00BE319E" w:rsidP="00B11C8F">
      <w:pPr>
        <w:tabs>
          <w:tab w:val="decimal" w:pos="9072"/>
        </w:tabs>
        <w:rPr>
          <w:color w:val="000000"/>
          <w:szCs w:val="24"/>
        </w:rPr>
      </w:pPr>
      <w:r w:rsidRPr="00BE319E">
        <w:rPr>
          <w:szCs w:val="24"/>
        </w:rPr>
        <w:t xml:space="preserve">En comparaison, la méthode de </w:t>
      </w:r>
      <w:proofErr w:type="spellStart"/>
      <w:r w:rsidRPr="00BE319E">
        <w:rPr>
          <w:szCs w:val="24"/>
        </w:rPr>
        <w:t>Goldfish</w:t>
      </w:r>
      <w:proofErr w:type="spellEnd"/>
      <w:r w:rsidRPr="00BE319E">
        <w:rPr>
          <w:szCs w:val="24"/>
        </w:rPr>
        <w:t>, très similaire, permet de réutiliser les cartouches d'</w:t>
      </w:r>
      <w:proofErr w:type="spellStart"/>
      <w:r w:rsidRPr="00BE319E">
        <w:rPr>
          <w:color w:val="000000"/>
          <w:szCs w:val="24"/>
        </w:rPr>
        <w:t>alundum</w:t>
      </w:r>
      <w:proofErr w:type="spellEnd"/>
      <w:r w:rsidRPr="00BE319E">
        <w:rPr>
          <w:color w:val="000000"/>
          <w:szCs w:val="24"/>
        </w:rPr>
        <w:t xml:space="preserve"> mais celles ci peuvent se détériorer et fausser les mesures</w:t>
      </w:r>
      <w:r>
        <w:rPr>
          <w:color w:val="000000"/>
          <w:szCs w:val="24"/>
        </w:rPr>
        <w:t>.</w:t>
      </w:r>
    </w:p>
    <w:p w:rsidR="00C740BF" w:rsidRDefault="00C740BF" w:rsidP="00B11C8F">
      <w:pPr>
        <w:tabs>
          <w:tab w:val="decimal" w:pos="9072"/>
        </w:tabs>
        <w:rPr>
          <w:color w:val="000000"/>
          <w:szCs w:val="24"/>
        </w:rPr>
      </w:pPr>
      <w:r>
        <w:rPr>
          <w:color w:val="000000"/>
          <w:szCs w:val="24"/>
        </w:rPr>
        <w:t>Les méthodes de dosage après désagrégation à l'acide son plus précise et permettent d'extraire les lipides retenus mécaniquement ou chimiquement dans l'aliment.</w:t>
      </w:r>
    </w:p>
    <w:p w:rsidR="00C740BF" w:rsidRDefault="00C740BF" w:rsidP="00B11C8F">
      <w:pPr>
        <w:tabs>
          <w:tab w:val="decimal" w:pos="9072"/>
        </w:tabs>
        <w:rPr>
          <w:color w:val="000000"/>
          <w:szCs w:val="24"/>
        </w:rPr>
      </w:pPr>
    </w:p>
    <w:p w:rsidR="00BE319E" w:rsidRPr="00BE319E" w:rsidRDefault="00BE319E" w:rsidP="00B11C8F">
      <w:pPr>
        <w:tabs>
          <w:tab w:val="decimal" w:pos="9072"/>
        </w:tabs>
        <w:rPr>
          <w:color w:val="000000"/>
          <w:szCs w:val="24"/>
          <w:u w:val="single"/>
        </w:rPr>
      </w:pPr>
      <w:r w:rsidRPr="00BE319E">
        <w:rPr>
          <w:color w:val="000000"/>
          <w:szCs w:val="24"/>
          <w:u w:val="single"/>
        </w:rPr>
        <w:t>Sources:</w:t>
      </w:r>
    </w:p>
    <w:p w:rsidR="00BE319E" w:rsidRDefault="00BE319E" w:rsidP="00B11C8F">
      <w:pPr>
        <w:tabs>
          <w:tab w:val="decimal" w:pos="9072"/>
        </w:tabs>
        <w:rPr>
          <w:szCs w:val="24"/>
        </w:rPr>
      </w:pPr>
      <w:r w:rsidRPr="00BE319E">
        <w:rPr>
          <w:szCs w:val="24"/>
        </w:rPr>
        <w:t>http://ensa.maroc-inge.com/supports/ENSA/1st/Analysephysico_Chimie.pdf</w:t>
      </w:r>
    </w:p>
    <w:p w:rsidR="00C740BF" w:rsidRPr="00BE319E" w:rsidRDefault="00C740BF" w:rsidP="00B11C8F">
      <w:pPr>
        <w:tabs>
          <w:tab w:val="decimal" w:pos="9072"/>
        </w:tabs>
        <w:rPr>
          <w:szCs w:val="24"/>
        </w:rPr>
      </w:pPr>
      <w:r w:rsidRPr="00C740BF">
        <w:rPr>
          <w:szCs w:val="24"/>
        </w:rPr>
        <w:t>http://wiki.epfl.ch/ball/documents/chimie_denrees/06_analyse_da_val_nut.pdf</w:t>
      </w:r>
    </w:p>
    <w:sectPr w:rsidR="00C740BF" w:rsidRPr="00BE319E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42DA"/>
    <w:multiLevelType w:val="hybridMultilevel"/>
    <w:tmpl w:val="BBF64340"/>
    <w:lvl w:ilvl="0" w:tplc="9B78CB58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70FA"/>
    <w:multiLevelType w:val="hybridMultilevel"/>
    <w:tmpl w:val="3D266EC0"/>
    <w:lvl w:ilvl="0" w:tplc="FE40621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2F5780F"/>
    <w:multiLevelType w:val="hybridMultilevel"/>
    <w:tmpl w:val="454289D6"/>
    <w:lvl w:ilvl="0" w:tplc="967218FA">
      <w:start w:val="1"/>
      <w:numFmt w:val="lowerLetter"/>
      <w:pStyle w:val="Titre3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1C8F"/>
    <w:rsid w:val="00006F65"/>
    <w:rsid w:val="0010276F"/>
    <w:rsid w:val="001A4A3A"/>
    <w:rsid w:val="00334199"/>
    <w:rsid w:val="003D4EB0"/>
    <w:rsid w:val="00402AF8"/>
    <w:rsid w:val="00455F5B"/>
    <w:rsid w:val="00490BF3"/>
    <w:rsid w:val="00590E93"/>
    <w:rsid w:val="006252F5"/>
    <w:rsid w:val="00643530"/>
    <w:rsid w:val="006C7AEA"/>
    <w:rsid w:val="006D3F5B"/>
    <w:rsid w:val="0070372B"/>
    <w:rsid w:val="007A227C"/>
    <w:rsid w:val="007B4822"/>
    <w:rsid w:val="008515D6"/>
    <w:rsid w:val="0092140D"/>
    <w:rsid w:val="0097777A"/>
    <w:rsid w:val="00A24815"/>
    <w:rsid w:val="00A52BBF"/>
    <w:rsid w:val="00B11C8F"/>
    <w:rsid w:val="00B323DF"/>
    <w:rsid w:val="00B90E6D"/>
    <w:rsid w:val="00BA2012"/>
    <w:rsid w:val="00BE319E"/>
    <w:rsid w:val="00BF3968"/>
    <w:rsid w:val="00C740BF"/>
    <w:rsid w:val="00D7781A"/>
    <w:rsid w:val="00DB30F1"/>
    <w:rsid w:val="00EA0F51"/>
    <w:rsid w:val="00EA4D85"/>
    <w:rsid w:val="00ED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F1"/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3F5B"/>
    <w:pPr>
      <w:keepNext/>
      <w:keepLines/>
      <w:numPr>
        <w:numId w:val="24"/>
      </w:numPr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EB0"/>
    <w:pPr>
      <w:keepNext/>
      <w:keepLines/>
      <w:numPr>
        <w:numId w:val="13"/>
      </w:numPr>
      <w:spacing w:before="20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D"/>
    <w:pPr>
      <w:keepNext/>
      <w:keepLines/>
      <w:numPr>
        <w:numId w:val="20"/>
      </w:numPr>
      <w:spacing w:before="200"/>
      <w:outlineLvl w:val="2"/>
    </w:pPr>
    <w:rPr>
      <w:rFonts w:eastAsiaTheme="majorEastAsia" w:cstheme="majorBidi"/>
      <w:b/>
      <w:bCs/>
      <w:color w:val="548DD4" w:themeColor="text2" w:themeTint="99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5D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5B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EB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0E6D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">
    <w:name w:val="Title"/>
    <w:basedOn w:val="Normal"/>
    <w:next w:val="Normal"/>
    <w:link w:val="TitreCar"/>
    <w:uiPriority w:val="10"/>
    <w:qFormat/>
    <w:rsid w:val="003D4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4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4EB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51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2013-01-03T12:24:00Z</dcterms:created>
  <dcterms:modified xsi:type="dcterms:W3CDTF">2013-01-03T12:24:00Z</dcterms:modified>
</cp:coreProperties>
</file>