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470" w:rsidRDefault="00895470" w:rsidP="00895470">
      <w:pPr>
        <w:rPr>
          <w:b/>
        </w:rPr>
      </w:pPr>
      <w:r>
        <w:rPr>
          <w:b/>
        </w:rPr>
        <w:t>DUCHENE Olivier</w:t>
      </w:r>
    </w:p>
    <w:p w:rsidR="00895470" w:rsidRDefault="00895470" w:rsidP="00895470">
      <w:pPr>
        <w:rPr>
          <w:b/>
        </w:rPr>
      </w:pPr>
      <w:r>
        <w:rPr>
          <w:b/>
        </w:rPr>
        <w:t>BARDELLI Johann</w:t>
      </w:r>
    </w:p>
    <w:p w:rsidR="00895470" w:rsidRPr="00895470" w:rsidRDefault="00895470" w:rsidP="00895470">
      <w:pPr>
        <w:rPr>
          <w:b/>
        </w:rPr>
      </w:pPr>
      <w:r>
        <w:rPr>
          <w:b/>
        </w:rPr>
        <w:t>Groupe 3</w:t>
      </w:r>
    </w:p>
    <w:p w:rsidR="00E53636" w:rsidRDefault="00B807B7" w:rsidP="00B807B7">
      <w:pPr>
        <w:pStyle w:val="Titre1"/>
      </w:pPr>
      <w:r>
        <w:t>ANALYSE DE TERRE</w:t>
      </w:r>
    </w:p>
    <w:p w:rsidR="00B807B7" w:rsidRDefault="00B807B7" w:rsidP="00B807B7">
      <w:pPr>
        <w:pStyle w:val="Titre2"/>
      </w:pPr>
      <w:r>
        <w:t>Azote total</w:t>
      </w:r>
    </w:p>
    <w:p w:rsidR="00B807B7" w:rsidRDefault="00B807B7" w:rsidP="00B807B7">
      <w:pPr>
        <w:pStyle w:val="Titre3"/>
      </w:pPr>
      <w:r>
        <w:t>Type de CR : pertinence de la méthode</w:t>
      </w:r>
    </w:p>
    <w:p w:rsidR="008D53C3" w:rsidRDefault="008D53C3" w:rsidP="008D53C3"/>
    <w:p w:rsidR="008D53C3" w:rsidRDefault="008D53C3" w:rsidP="008D53C3">
      <w:r>
        <w:t>L’objectif est le dosage de l’azote présent dans différents composants comme les acides aminés, protéines, engrais…</w:t>
      </w:r>
    </w:p>
    <w:p w:rsidR="00F1122D" w:rsidRDefault="00F1122D" w:rsidP="008D53C3"/>
    <w:p w:rsidR="008D53C3" w:rsidRDefault="008D53C3" w:rsidP="009C3D78">
      <w:pPr>
        <w:pStyle w:val="Paragraphedeliste"/>
        <w:numPr>
          <w:ilvl w:val="0"/>
          <w:numId w:val="2"/>
        </w:numPr>
      </w:pPr>
      <w:r>
        <w:t>La méthode utilisée</w:t>
      </w:r>
      <w:r w:rsidR="00F1122D">
        <w:t xml:space="preserve"> ici est celle de </w:t>
      </w:r>
      <w:proofErr w:type="spellStart"/>
      <w:r w:rsidR="00F1122D" w:rsidRPr="009C3D78">
        <w:rPr>
          <w:i/>
        </w:rPr>
        <w:t>Kjeldahl</w:t>
      </w:r>
      <w:proofErr w:type="spellEnd"/>
      <w:r w:rsidR="00F1122D">
        <w:t>, m</w:t>
      </w:r>
      <w:r>
        <w:t>éthode la plus largement répandue</w:t>
      </w:r>
      <w:r w:rsidR="00F1122D">
        <w:t xml:space="preserve"> basée sur un titrage acido-basique final. Un des avantages de cette manipulation est que cette méthode est directe, elle représente la référence pour le dosage des matières protéiques. Il a même été attribué des facteurs approprié à chaque aliment pour connaitre le pourcentage d’azote à partir d’une valeur référence (6,25 pour la viande contre 5,7 pour les céréales</w:t>
      </w:r>
      <w:r w:rsidR="00AA4546">
        <w:t>)</w:t>
      </w:r>
      <w:r w:rsidR="00F1122D">
        <w:t>.</w:t>
      </w:r>
    </w:p>
    <w:p w:rsidR="00F1122D" w:rsidRDefault="00F1122D" w:rsidP="00F1122D"/>
    <w:p w:rsidR="00F1122D" w:rsidRDefault="00F1122D" w:rsidP="009C3D78">
      <w:pPr>
        <w:pStyle w:val="Paragraphedeliste"/>
        <w:numPr>
          <w:ilvl w:val="0"/>
          <w:numId w:val="2"/>
        </w:numPr>
      </w:pPr>
      <w:r>
        <w:t>D’autres méthodes existent, comme la méthode de</w:t>
      </w:r>
      <w:r w:rsidRPr="009C3D78">
        <w:rPr>
          <w:i/>
        </w:rPr>
        <w:t xml:space="preserve"> Dumas. </w:t>
      </w:r>
      <w:r>
        <w:t>Ici l’échantillon est associé à de la poudre d’oxyde de cuivre et brulé, ce qui produit de l’eau du dioxyde de carbone et de l’azote. Le mélange traverse une burette à gaz d’hydroxyde de potassium. Seul l’azote n’est pas adsorbé, son volume peut-être mesuré directement.</w:t>
      </w:r>
      <w:r w:rsidR="00AA4546">
        <w:t xml:space="preserve"> Cette méthode nécessite plus de solvant ainsi que des gaz vecteurs (CO2) et des équipements plus sophistiqués comme l’empilement de cuivre à haute température.</w:t>
      </w:r>
    </w:p>
    <w:p w:rsidR="00AA4546" w:rsidRDefault="00AA4546" w:rsidP="00F1122D"/>
    <w:p w:rsidR="00AA4546" w:rsidRDefault="00AA4546" w:rsidP="009C3D78">
      <w:pPr>
        <w:pStyle w:val="Paragraphedeliste"/>
        <w:numPr>
          <w:ilvl w:val="0"/>
          <w:numId w:val="2"/>
        </w:numPr>
      </w:pPr>
      <w:r>
        <w:t>Aussi, une méthode plus récente est disponible. Son principe étant la combustion de l’échantillon à 1100°C. L’azote est ainsi transformé en monoxyde d’azote. Celui doit être e</w:t>
      </w:r>
      <w:r w:rsidR="00895470">
        <w:t>nsuite oxydé NO2 par l’ozone, ce</w:t>
      </w:r>
      <w:r>
        <w:t xml:space="preserve"> qui produit un rayonnement mesurable, proportionnel à la quantité d’azote. Cela nécessite un gaz moins courant : l’ozone et un appareillage capable de mesurer un rayonnement.</w:t>
      </w:r>
    </w:p>
    <w:p w:rsidR="00AA4546" w:rsidRDefault="00AA4546" w:rsidP="00F1122D"/>
    <w:p w:rsidR="00AA4546" w:rsidRDefault="00AA4546" w:rsidP="00F1122D">
      <w:r>
        <w:t xml:space="preserve">Il est évidemment plus que pertinent lors de l’apprentissage du dosage de l’azote d’apprendre et de connaître en premier lieu la méthode de </w:t>
      </w:r>
      <w:proofErr w:type="spellStart"/>
      <w:r>
        <w:t>Kjeldahl</w:t>
      </w:r>
      <w:proofErr w:type="spellEnd"/>
      <w:r w:rsidR="009C3D78">
        <w:t>, puisque celle-ci peut être rencontrée partout, elle représente une très grande majorité de ce dosage. Le titrage final est simple et l’étape préalable ne nécessite pas de matériels ultra technologique.</w:t>
      </w:r>
    </w:p>
    <w:p w:rsidR="00AF2A4B" w:rsidRDefault="00AF2A4B" w:rsidP="00F1122D"/>
    <w:p w:rsidR="00AF2A4B" w:rsidRPr="00AF2A4B" w:rsidRDefault="00AF2A4B" w:rsidP="00F1122D">
      <w:pPr>
        <w:rPr>
          <w:b/>
        </w:rPr>
      </w:pPr>
      <w:r>
        <w:rPr>
          <w:b/>
        </w:rPr>
        <w:t>(Analyse Chimique, DUNOD / Chimie analytique, Skood-West-Holler)</w:t>
      </w:r>
    </w:p>
    <w:sectPr w:rsidR="00AF2A4B" w:rsidRPr="00AF2A4B" w:rsidSect="00E53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64A91"/>
    <w:multiLevelType w:val="hybridMultilevel"/>
    <w:tmpl w:val="AAB08FE0"/>
    <w:lvl w:ilvl="0" w:tplc="DE46A090"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69676B86"/>
    <w:multiLevelType w:val="hybridMultilevel"/>
    <w:tmpl w:val="25EE66A6"/>
    <w:lvl w:ilvl="0" w:tplc="DE46A0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07B7"/>
    <w:rsid w:val="000E2C60"/>
    <w:rsid w:val="001725F6"/>
    <w:rsid w:val="002C6368"/>
    <w:rsid w:val="00375641"/>
    <w:rsid w:val="00467F57"/>
    <w:rsid w:val="005F4F37"/>
    <w:rsid w:val="007446F2"/>
    <w:rsid w:val="007754FB"/>
    <w:rsid w:val="00895470"/>
    <w:rsid w:val="008D53C3"/>
    <w:rsid w:val="009A0217"/>
    <w:rsid w:val="009C3D78"/>
    <w:rsid w:val="00AA4546"/>
    <w:rsid w:val="00AF2A4B"/>
    <w:rsid w:val="00B807B7"/>
    <w:rsid w:val="00C36307"/>
    <w:rsid w:val="00D859D3"/>
    <w:rsid w:val="00E53636"/>
    <w:rsid w:val="00F1122D"/>
    <w:rsid w:val="00F91244"/>
    <w:rsid w:val="00FB6C4A"/>
    <w:rsid w:val="00FF5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36"/>
  </w:style>
  <w:style w:type="paragraph" w:styleId="Titre1">
    <w:name w:val="heading 1"/>
    <w:basedOn w:val="Normal"/>
    <w:next w:val="Normal"/>
    <w:link w:val="Titre1Car"/>
    <w:uiPriority w:val="9"/>
    <w:qFormat/>
    <w:rsid w:val="002C636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07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636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67F57"/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B80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112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4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5</cp:revision>
  <dcterms:created xsi:type="dcterms:W3CDTF">2012-12-02T14:56:00Z</dcterms:created>
  <dcterms:modified xsi:type="dcterms:W3CDTF">2012-12-09T10:13:00Z</dcterms:modified>
</cp:coreProperties>
</file>