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Default="00F309F3" w:rsidP="007C1EE2">
      <w:pPr>
        <w:tabs>
          <w:tab w:val="left" w:pos="7655"/>
        </w:tabs>
        <w:jc w:val="center"/>
        <w:rPr>
          <w:b/>
          <w:smallCaps/>
          <w:color w:val="FF0000"/>
          <w:sz w:val="36"/>
          <w:u w:val="single"/>
        </w:rPr>
      </w:pPr>
      <w:r>
        <w:rPr>
          <w:b/>
          <w:smallCaps/>
          <w:color w:val="FF0000"/>
          <w:sz w:val="36"/>
          <w:u w:val="single"/>
        </w:rPr>
        <w:t>Activité enzymatique</w:t>
      </w:r>
    </w:p>
    <w:p w:rsidR="004E2133" w:rsidRDefault="00116EB3" w:rsidP="004E2133">
      <w:pPr>
        <w:tabs>
          <w:tab w:val="left" w:pos="7655"/>
        </w:tabs>
        <w:jc w:val="center"/>
        <w:rPr>
          <w:b/>
          <w:color w:val="00B050"/>
          <w:sz w:val="32"/>
          <w:u w:val="single"/>
        </w:rPr>
      </w:pPr>
      <w:r w:rsidRPr="004E6B58">
        <w:rPr>
          <w:b/>
          <w:color w:val="00B050"/>
          <w:sz w:val="32"/>
          <w:u w:val="single"/>
        </w:rPr>
        <w:t>Principe de la méthode</w:t>
      </w:r>
    </w:p>
    <w:p w:rsidR="0051019D" w:rsidRDefault="004E2133" w:rsidP="007746D7">
      <w:pPr>
        <w:tabs>
          <w:tab w:val="left" w:pos="0"/>
        </w:tabs>
        <w:rPr>
          <w:color w:val="000000" w:themeColor="text1"/>
          <w:sz w:val="24"/>
          <w:szCs w:val="24"/>
        </w:rPr>
      </w:pPr>
      <w:r>
        <w:rPr>
          <w:color w:val="00B050"/>
          <w:sz w:val="24"/>
          <w:szCs w:val="24"/>
        </w:rPr>
        <w:tab/>
      </w:r>
      <w:r w:rsidR="007746D7">
        <w:rPr>
          <w:color w:val="000000" w:themeColor="text1"/>
          <w:sz w:val="24"/>
          <w:szCs w:val="24"/>
        </w:rPr>
        <w:t>L</w:t>
      </w:r>
      <w:r w:rsidR="0051019D">
        <w:rPr>
          <w:color w:val="000000" w:themeColor="text1"/>
          <w:sz w:val="24"/>
          <w:szCs w:val="24"/>
        </w:rPr>
        <w:t xml:space="preserve">e principe de ce TP est de mettre en évidence la présence ou non de deux enzymes dans le lait étudié. On réalise ainsi 2 épreuves enzymatiques dans le but de superviser le degré de chauffage de notre lait, puisque ce chauffage désactive certaines enzymes du lait. </w:t>
      </w:r>
      <w:r w:rsidR="0051019D">
        <w:rPr>
          <w:color w:val="000000" w:themeColor="text1"/>
          <w:sz w:val="24"/>
          <w:szCs w:val="24"/>
        </w:rPr>
        <w:br/>
      </w:r>
    </w:p>
    <w:p w:rsidR="00244A18" w:rsidRDefault="0051019D" w:rsidP="007746D7">
      <w:pPr>
        <w:tabs>
          <w:tab w:val="left" w:pos="0"/>
        </w:tabs>
        <w:rPr>
          <w:color w:val="000000" w:themeColor="text1"/>
          <w:sz w:val="24"/>
          <w:szCs w:val="24"/>
        </w:rPr>
      </w:pPr>
      <w:r>
        <w:rPr>
          <w:color w:val="000000" w:themeColor="text1"/>
          <w:sz w:val="24"/>
          <w:szCs w:val="24"/>
        </w:rPr>
        <w:t>La première concerne la phosphatase alcaline</w:t>
      </w:r>
      <w:r w:rsidR="00E34967">
        <w:rPr>
          <w:color w:val="000000" w:themeColor="text1"/>
          <w:sz w:val="24"/>
          <w:szCs w:val="24"/>
        </w:rPr>
        <w:t xml:space="preserve"> (</w:t>
      </w:r>
      <w:r w:rsidR="008C083B">
        <w:rPr>
          <w:color w:val="000000" w:themeColor="text1"/>
          <w:sz w:val="24"/>
          <w:szCs w:val="24"/>
        </w:rPr>
        <w:t xml:space="preserve">= PAL, </w:t>
      </w:r>
      <w:r w:rsidR="00E34967">
        <w:rPr>
          <w:color w:val="000000" w:themeColor="text1"/>
          <w:sz w:val="24"/>
          <w:szCs w:val="24"/>
        </w:rPr>
        <w:t>grosse enzyme peu retenue)</w:t>
      </w:r>
      <w:r>
        <w:rPr>
          <w:color w:val="000000" w:themeColor="text1"/>
          <w:sz w:val="24"/>
          <w:szCs w:val="24"/>
        </w:rPr>
        <w:t xml:space="preserve"> qui persiste à la chaleur un peu mieux que le germe pathogène le plus persistant. L'activité enzymatique est mesurée en se basant sur l'intensité de la coloration jaune obtenue lors de la libération du </w:t>
      </w:r>
      <w:proofErr w:type="spellStart"/>
      <w:r>
        <w:rPr>
          <w:color w:val="000000" w:themeColor="text1"/>
          <w:sz w:val="24"/>
          <w:szCs w:val="24"/>
        </w:rPr>
        <w:t>paranitrophénol</w:t>
      </w:r>
      <w:proofErr w:type="spellEnd"/>
      <w:r>
        <w:rPr>
          <w:color w:val="000000" w:themeColor="text1"/>
          <w:sz w:val="24"/>
          <w:szCs w:val="24"/>
        </w:rPr>
        <w:t xml:space="preserve"> après hydrolyse du </w:t>
      </w:r>
      <w:proofErr w:type="spellStart"/>
      <w:r>
        <w:rPr>
          <w:color w:val="000000" w:themeColor="text1"/>
          <w:sz w:val="24"/>
          <w:szCs w:val="24"/>
        </w:rPr>
        <w:t>paranitrophénylphosphate</w:t>
      </w:r>
      <w:proofErr w:type="spellEnd"/>
      <w:r>
        <w:rPr>
          <w:color w:val="000000" w:themeColor="text1"/>
          <w:sz w:val="24"/>
          <w:szCs w:val="24"/>
        </w:rPr>
        <w:t xml:space="preserve"> par la phosphatase. Pour se faire, il est nécessaire de réaliser un témoin avec du lait bouilli pour comparer aux tubes à essais préparés (substrat tamponné + lait bouilli + lait à tester agités).</w:t>
      </w:r>
      <w:r w:rsidR="002204C0">
        <w:rPr>
          <w:color w:val="000000" w:themeColor="text1"/>
          <w:sz w:val="24"/>
          <w:szCs w:val="24"/>
        </w:rPr>
        <w:t xml:space="preserve"> </w:t>
      </w:r>
    </w:p>
    <w:p w:rsidR="0051019D" w:rsidRDefault="0051019D" w:rsidP="007746D7">
      <w:pPr>
        <w:tabs>
          <w:tab w:val="left" w:pos="0"/>
        </w:tabs>
        <w:rPr>
          <w:color w:val="000000" w:themeColor="text1"/>
          <w:sz w:val="24"/>
          <w:szCs w:val="24"/>
        </w:rPr>
      </w:pPr>
      <w:r>
        <w:rPr>
          <w:color w:val="000000" w:themeColor="text1"/>
          <w:sz w:val="24"/>
          <w:szCs w:val="24"/>
        </w:rPr>
        <w:t>La seconde</w:t>
      </w:r>
      <w:r w:rsidR="002204C0">
        <w:rPr>
          <w:color w:val="000000" w:themeColor="text1"/>
          <w:sz w:val="24"/>
          <w:szCs w:val="24"/>
        </w:rPr>
        <w:t xml:space="preserve"> concerne la </w:t>
      </w:r>
      <w:proofErr w:type="spellStart"/>
      <w:r w:rsidR="002204C0">
        <w:rPr>
          <w:color w:val="000000" w:themeColor="text1"/>
          <w:sz w:val="24"/>
          <w:szCs w:val="24"/>
        </w:rPr>
        <w:t>péroxydase</w:t>
      </w:r>
      <w:proofErr w:type="spellEnd"/>
      <w:r w:rsidR="00E34967">
        <w:rPr>
          <w:color w:val="000000" w:themeColor="text1"/>
          <w:sz w:val="24"/>
          <w:szCs w:val="24"/>
        </w:rPr>
        <w:t xml:space="preserve"> (</w:t>
      </w:r>
      <w:r w:rsidR="008C083B">
        <w:rPr>
          <w:color w:val="000000" w:themeColor="text1"/>
          <w:sz w:val="24"/>
          <w:szCs w:val="24"/>
        </w:rPr>
        <w:t xml:space="preserve">= POD, </w:t>
      </w:r>
      <w:r w:rsidR="00E34967">
        <w:rPr>
          <w:color w:val="000000" w:themeColor="text1"/>
          <w:sz w:val="24"/>
          <w:szCs w:val="24"/>
        </w:rPr>
        <w:t>pas retenue du tout)</w:t>
      </w:r>
      <w:r w:rsidR="002204C0">
        <w:rPr>
          <w:color w:val="000000" w:themeColor="text1"/>
          <w:sz w:val="24"/>
          <w:szCs w:val="24"/>
        </w:rPr>
        <w:t xml:space="preserve"> qui est une enzyme susceptible de catalyser les réactions entre de l'eau oxygénée et une substance incolore à l'état réduit (colorée quand il est oxydé). L'observation de la création d'une coloration indique une mise en évidence de l'activité de la </w:t>
      </w:r>
      <w:proofErr w:type="spellStart"/>
      <w:r w:rsidR="002204C0">
        <w:rPr>
          <w:color w:val="000000" w:themeColor="text1"/>
          <w:sz w:val="24"/>
          <w:szCs w:val="24"/>
        </w:rPr>
        <w:t>péroxydase</w:t>
      </w:r>
      <w:proofErr w:type="spellEnd"/>
      <w:r w:rsidR="002204C0">
        <w:rPr>
          <w:color w:val="000000" w:themeColor="text1"/>
          <w:sz w:val="24"/>
          <w:szCs w:val="24"/>
        </w:rPr>
        <w:t xml:space="preserve">. La substance incolore choisit est le Gaïacol. </w:t>
      </w:r>
      <w:r w:rsidR="00D56B62">
        <w:rPr>
          <w:color w:val="000000" w:themeColor="text1"/>
          <w:sz w:val="24"/>
          <w:szCs w:val="24"/>
        </w:rPr>
        <w:t xml:space="preserve">(Réaction de </w:t>
      </w:r>
      <w:proofErr w:type="spellStart"/>
      <w:r w:rsidR="00D56B62">
        <w:rPr>
          <w:color w:val="000000" w:themeColor="text1"/>
          <w:sz w:val="24"/>
          <w:szCs w:val="24"/>
        </w:rPr>
        <w:t>Dupouy</w:t>
      </w:r>
      <w:proofErr w:type="spellEnd"/>
      <w:r w:rsidR="00D56B62">
        <w:rPr>
          <w:color w:val="000000" w:themeColor="text1"/>
          <w:sz w:val="24"/>
          <w:szCs w:val="24"/>
        </w:rPr>
        <w:t>).</w:t>
      </w:r>
      <w:r w:rsidR="002204C0">
        <w:rPr>
          <w:color w:val="000000" w:themeColor="text1"/>
          <w:sz w:val="24"/>
          <w:szCs w:val="24"/>
        </w:rPr>
        <w:br/>
        <w:t xml:space="preserve">La </w:t>
      </w:r>
      <w:proofErr w:type="spellStart"/>
      <w:r w:rsidR="002204C0">
        <w:rPr>
          <w:color w:val="000000" w:themeColor="text1"/>
          <w:sz w:val="24"/>
          <w:szCs w:val="24"/>
        </w:rPr>
        <w:t>péroxydase</w:t>
      </w:r>
      <w:proofErr w:type="spellEnd"/>
      <w:r w:rsidR="002204C0">
        <w:rPr>
          <w:color w:val="000000" w:themeColor="text1"/>
          <w:sz w:val="24"/>
          <w:szCs w:val="24"/>
        </w:rPr>
        <w:t xml:space="preserve"> n'est sensible </w:t>
      </w:r>
      <w:proofErr w:type="gramStart"/>
      <w:r w:rsidR="002204C0">
        <w:rPr>
          <w:color w:val="000000" w:themeColor="text1"/>
          <w:sz w:val="24"/>
          <w:szCs w:val="24"/>
        </w:rPr>
        <w:t>qu'aux traitement thermiques supérieurs</w:t>
      </w:r>
      <w:proofErr w:type="gramEnd"/>
      <w:r w:rsidR="002204C0">
        <w:rPr>
          <w:color w:val="000000" w:themeColor="text1"/>
          <w:sz w:val="24"/>
          <w:szCs w:val="24"/>
        </w:rPr>
        <w:t xml:space="preserve"> à 80°C (elle est détruite au-delà de ce seuil de température). Pour se faire, on introduit dans un tube à essai le Gaïacol, le lait à tester et l'eau oxygénée, la reconnaissance de l'activité de la </w:t>
      </w:r>
      <w:proofErr w:type="spellStart"/>
      <w:r w:rsidR="002204C0">
        <w:rPr>
          <w:color w:val="000000" w:themeColor="text1"/>
          <w:sz w:val="24"/>
          <w:szCs w:val="24"/>
        </w:rPr>
        <w:t>péroxydase</w:t>
      </w:r>
      <w:proofErr w:type="spellEnd"/>
      <w:r w:rsidR="002204C0">
        <w:rPr>
          <w:color w:val="000000" w:themeColor="text1"/>
          <w:sz w:val="24"/>
          <w:szCs w:val="24"/>
        </w:rPr>
        <w:t xml:space="preserve"> est repérable</w:t>
      </w:r>
      <w:r w:rsidR="00FA6E49">
        <w:rPr>
          <w:color w:val="000000" w:themeColor="text1"/>
          <w:sz w:val="24"/>
          <w:szCs w:val="24"/>
        </w:rPr>
        <w:t xml:space="preserve"> par l'émergence d'une coloration rouge brique. </w:t>
      </w:r>
    </w:p>
    <w:p w:rsidR="008C083B" w:rsidRDefault="008C083B" w:rsidP="007746D7">
      <w:pPr>
        <w:tabs>
          <w:tab w:val="left" w:pos="0"/>
        </w:tabs>
        <w:rPr>
          <w:color w:val="000000" w:themeColor="text1"/>
          <w:sz w:val="24"/>
          <w:szCs w:val="24"/>
        </w:rPr>
      </w:pPr>
    </w:p>
    <w:p w:rsidR="008C083B" w:rsidRPr="008C083B" w:rsidRDefault="008C083B" w:rsidP="008C083B">
      <w:pPr>
        <w:tabs>
          <w:tab w:val="left" w:pos="7655"/>
        </w:tabs>
        <w:jc w:val="center"/>
        <w:rPr>
          <w:sz w:val="24"/>
          <w:szCs w:val="24"/>
        </w:rPr>
      </w:pPr>
      <w:r>
        <w:rPr>
          <w:b/>
          <w:color w:val="00B050"/>
          <w:sz w:val="32"/>
          <w:u w:val="single"/>
        </w:rPr>
        <w:t>Discussion du résultat</w:t>
      </w:r>
    </w:p>
    <w:tbl>
      <w:tblPr>
        <w:tblStyle w:val="Grilledutableau"/>
        <w:tblW w:w="0" w:type="auto"/>
        <w:tblLook w:val="04A0"/>
      </w:tblPr>
      <w:tblGrid>
        <w:gridCol w:w="1842"/>
        <w:gridCol w:w="1842"/>
        <w:gridCol w:w="1842"/>
        <w:gridCol w:w="1842"/>
        <w:gridCol w:w="1843"/>
      </w:tblGrid>
      <w:tr w:rsidR="008C083B" w:rsidRPr="00B203D7" w:rsidTr="00B203D7">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Lait/enzyme</w:t>
            </w:r>
          </w:p>
        </w:tc>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1</w:t>
            </w:r>
          </w:p>
        </w:tc>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2</w:t>
            </w:r>
          </w:p>
        </w:tc>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3</w:t>
            </w:r>
          </w:p>
        </w:tc>
        <w:tc>
          <w:tcPr>
            <w:tcW w:w="1843" w:type="dxa"/>
            <w:shd w:val="clear" w:color="auto" w:fill="8DB3E2" w:themeFill="text2" w:themeFillTint="66"/>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5</w:t>
            </w:r>
          </w:p>
        </w:tc>
      </w:tr>
      <w:tr w:rsidR="008C083B" w:rsidTr="00B203D7">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PAL</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3" w:type="dxa"/>
            <w:shd w:val="clear" w:color="auto" w:fill="8DB3E2" w:themeFill="text2" w:themeFillTint="66"/>
          </w:tcPr>
          <w:p w:rsidR="008C083B" w:rsidRDefault="00B203D7" w:rsidP="007746D7">
            <w:pPr>
              <w:tabs>
                <w:tab w:val="left" w:pos="0"/>
              </w:tabs>
              <w:rPr>
                <w:color w:val="000000" w:themeColor="text1"/>
                <w:sz w:val="24"/>
                <w:szCs w:val="24"/>
              </w:rPr>
            </w:pPr>
            <w:r>
              <w:rPr>
                <w:color w:val="000000" w:themeColor="text1"/>
                <w:sz w:val="24"/>
                <w:szCs w:val="24"/>
              </w:rPr>
              <w:t>+++</w:t>
            </w:r>
          </w:p>
        </w:tc>
      </w:tr>
      <w:tr w:rsidR="008C083B" w:rsidTr="00B203D7">
        <w:tc>
          <w:tcPr>
            <w:tcW w:w="1842" w:type="dxa"/>
          </w:tcPr>
          <w:p w:rsidR="008C083B" w:rsidRPr="00B203D7" w:rsidRDefault="008C083B" w:rsidP="007746D7">
            <w:pPr>
              <w:tabs>
                <w:tab w:val="left" w:pos="0"/>
              </w:tabs>
              <w:rPr>
                <w:b/>
                <w:color w:val="000000" w:themeColor="text1"/>
                <w:sz w:val="24"/>
                <w:szCs w:val="24"/>
              </w:rPr>
            </w:pPr>
            <w:r w:rsidRPr="00B203D7">
              <w:rPr>
                <w:b/>
                <w:color w:val="000000" w:themeColor="text1"/>
                <w:sz w:val="24"/>
                <w:szCs w:val="24"/>
              </w:rPr>
              <w:t>POD</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2" w:type="dxa"/>
          </w:tcPr>
          <w:p w:rsidR="008C083B" w:rsidRDefault="00B203D7" w:rsidP="007746D7">
            <w:pPr>
              <w:tabs>
                <w:tab w:val="left" w:pos="0"/>
              </w:tabs>
              <w:rPr>
                <w:color w:val="000000" w:themeColor="text1"/>
                <w:sz w:val="24"/>
                <w:szCs w:val="24"/>
              </w:rPr>
            </w:pPr>
            <w:r>
              <w:rPr>
                <w:color w:val="000000" w:themeColor="text1"/>
                <w:sz w:val="24"/>
                <w:szCs w:val="24"/>
              </w:rPr>
              <w:t>+</w:t>
            </w:r>
          </w:p>
        </w:tc>
        <w:tc>
          <w:tcPr>
            <w:tcW w:w="1843" w:type="dxa"/>
            <w:shd w:val="clear" w:color="auto" w:fill="8DB3E2" w:themeFill="text2" w:themeFillTint="66"/>
          </w:tcPr>
          <w:p w:rsidR="008C083B" w:rsidRDefault="00B203D7" w:rsidP="007746D7">
            <w:pPr>
              <w:tabs>
                <w:tab w:val="left" w:pos="0"/>
              </w:tabs>
              <w:rPr>
                <w:color w:val="000000" w:themeColor="text1"/>
                <w:sz w:val="24"/>
                <w:szCs w:val="24"/>
              </w:rPr>
            </w:pPr>
            <w:r>
              <w:rPr>
                <w:color w:val="000000" w:themeColor="text1"/>
                <w:sz w:val="24"/>
                <w:szCs w:val="24"/>
              </w:rPr>
              <w:t>+++</w:t>
            </w:r>
          </w:p>
        </w:tc>
      </w:tr>
    </w:tbl>
    <w:p w:rsidR="00FA6E49" w:rsidRDefault="00B203D7" w:rsidP="0051019D">
      <w:pPr>
        <w:tabs>
          <w:tab w:val="decimal" w:pos="9072"/>
        </w:tabs>
      </w:pPr>
      <w:r>
        <w:rPr>
          <w:color w:val="000000" w:themeColor="text1"/>
          <w:sz w:val="24"/>
          <w:szCs w:val="24"/>
        </w:rPr>
        <w:br/>
      </w:r>
      <w:r>
        <w:t xml:space="preserve">Pour la PAL, nous avons observé une coloration jaune très vive (plus que les autres laits), et pour la POD  nous avons bel et bien une coloration </w:t>
      </w:r>
      <w:proofErr w:type="gramStart"/>
      <w:r w:rsidR="00665F10">
        <w:t>saumon ,</w:t>
      </w:r>
      <w:proofErr w:type="gramEnd"/>
      <w:r w:rsidR="00665F10">
        <w:t xml:space="preserve"> preuve</w:t>
      </w:r>
      <w:r>
        <w:t xml:space="preserve"> de l'oxydation du Gaïacol par l'enzyme. Ces résultats sont cohérents car un lait cru n'ayant subit aucune modification comporte forcément l'enzyme PAL</w:t>
      </w:r>
      <w:r w:rsidR="002E689E">
        <w:t xml:space="preserve"> puisqu'elle n'a pas été détruite par la chaleur, il en est de même pour l'enzyme POD, car si PAL est présente, POD l'est aussi forcément puisqu'elle est censée être plus résistante à la </w:t>
      </w:r>
      <w:r w:rsidR="002E689E">
        <w:lastRenderedPageBreak/>
        <w:t>chaleur que PAL.</w:t>
      </w:r>
      <w:r w:rsidR="00A8220D">
        <w:t xml:space="preserve"> Les recherches plus approfondies confirment le fait qu'il est normal de retrouver ces 2 enzymes dans un lait cru puisqu'il n'a encore subit aucune exposition à des chaleurs inhabituelles.</w:t>
      </w:r>
    </w:p>
    <w:p w:rsidR="00244A18" w:rsidRDefault="00244A18" w:rsidP="0051019D">
      <w:pPr>
        <w:tabs>
          <w:tab w:val="decimal" w:pos="9072"/>
        </w:tabs>
      </w:pPr>
    </w:p>
    <w:p w:rsidR="00244A18" w:rsidRPr="008C083B" w:rsidRDefault="00244A18" w:rsidP="00244A18">
      <w:pPr>
        <w:tabs>
          <w:tab w:val="left" w:pos="7655"/>
        </w:tabs>
        <w:jc w:val="center"/>
        <w:rPr>
          <w:sz w:val="24"/>
          <w:szCs w:val="24"/>
        </w:rPr>
      </w:pPr>
      <w:r>
        <w:rPr>
          <w:b/>
          <w:color w:val="00B050"/>
          <w:sz w:val="32"/>
          <w:u w:val="single"/>
        </w:rPr>
        <w:t>Rôle de l'élément dosé</w:t>
      </w:r>
    </w:p>
    <w:p w:rsidR="000D3459" w:rsidRDefault="007E373A" w:rsidP="008C7B38">
      <w:pPr>
        <w:tabs>
          <w:tab w:val="left" w:pos="0"/>
        </w:tabs>
        <w:rPr>
          <w:rFonts w:cs="Arial"/>
          <w:bCs/>
          <w:sz w:val="24"/>
          <w:szCs w:val="24"/>
          <w:shd w:val="clear" w:color="auto" w:fill="FFFFFF"/>
        </w:rPr>
      </w:pPr>
      <w:r>
        <w:rPr>
          <w:color w:val="000000" w:themeColor="text1"/>
          <w:sz w:val="24"/>
          <w:szCs w:val="24"/>
        </w:rPr>
        <w:t>La</w:t>
      </w:r>
      <w:r w:rsidR="00244A18">
        <w:rPr>
          <w:color w:val="000000" w:themeColor="text1"/>
          <w:sz w:val="24"/>
          <w:szCs w:val="24"/>
        </w:rPr>
        <w:t xml:space="preserve"> présence de la PAL révèle une pasteurisation incorrectement réalisée.</w:t>
      </w:r>
      <w:r w:rsidR="00244A18">
        <w:rPr>
          <w:color w:val="000000" w:themeColor="text1"/>
          <w:sz w:val="24"/>
          <w:szCs w:val="24"/>
        </w:rPr>
        <w:br/>
      </w:r>
      <w:r>
        <w:rPr>
          <w:color w:val="000000" w:themeColor="text1"/>
          <w:sz w:val="24"/>
          <w:szCs w:val="24"/>
        </w:rPr>
        <w:t>La présence de la POD permet de savoir</w:t>
      </w:r>
      <w:r w:rsidR="00244A18">
        <w:rPr>
          <w:color w:val="000000" w:themeColor="text1"/>
          <w:sz w:val="24"/>
          <w:szCs w:val="24"/>
        </w:rPr>
        <w:t xml:space="preserve"> </w:t>
      </w:r>
      <w:r w:rsidR="00D347DF">
        <w:rPr>
          <w:color w:val="000000" w:themeColor="text1"/>
          <w:sz w:val="24"/>
          <w:szCs w:val="24"/>
        </w:rPr>
        <w:t>si le traitement U.H.T. du lait a correctement été opéré. Si c'est le cas, le lait pourra porter l'appellation "frais", et si ce n'est pas le cas il portera la mention "pasteurisation haute".</w:t>
      </w:r>
      <w:r w:rsidR="00D347DF">
        <w:rPr>
          <w:color w:val="000000" w:themeColor="text1"/>
          <w:sz w:val="24"/>
          <w:szCs w:val="24"/>
        </w:rPr>
        <w:br/>
      </w:r>
      <w:r>
        <w:rPr>
          <w:color w:val="000000" w:themeColor="text1"/>
          <w:sz w:val="24"/>
          <w:szCs w:val="24"/>
        </w:rPr>
        <w:br/>
        <w:t xml:space="preserve">La </w:t>
      </w:r>
      <w:r w:rsidRPr="007E373A">
        <w:rPr>
          <w:rFonts w:cs="Arial"/>
          <w:bCs/>
          <w:color w:val="000000"/>
          <w:sz w:val="24"/>
          <w:szCs w:val="20"/>
          <w:shd w:val="clear" w:color="auto" w:fill="FFFFFF"/>
        </w:rPr>
        <w:t>phosphatase alcaline</w:t>
      </w:r>
      <w:r>
        <w:rPr>
          <w:rFonts w:cs="Arial"/>
          <w:bCs/>
          <w:color w:val="000000"/>
          <w:sz w:val="24"/>
          <w:szCs w:val="20"/>
          <w:shd w:val="clear" w:color="auto" w:fill="FFFFFF"/>
        </w:rPr>
        <w:t xml:space="preserve"> est généralement présente dans le sang et partiellement détruite par la bile. Elle a un rôle dans la minéralisation des os et est aussi</w:t>
      </w:r>
      <w:r w:rsidR="000D3459">
        <w:rPr>
          <w:rFonts w:cs="Arial"/>
          <w:bCs/>
          <w:color w:val="000000"/>
          <w:sz w:val="24"/>
          <w:szCs w:val="20"/>
          <w:shd w:val="clear" w:color="auto" w:fill="FFFFFF"/>
        </w:rPr>
        <w:t xml:space="preserve"> présente dans les tissus du corps mais aussi dans des organes plus ciblés tels que le </w:t>
      </w:r>
      <w:r>
        <w:rPr>
          <w:rFonts w:cs="Arial"/>
          <w:bCs/>
          <w:color w:val="000000"/>
          <w:sz w:val="24"/>
          <w:szCs w:val="20"/>
          <w:shd w:val="clear" w:color="auto" w:fill="FFFFFF"/>
        </w:rPr>
        <w:t>foie</w:t>
      </w:r>
      <w:r w:rsidR="000D3459">
        <w:rPr>
          <w:rFonts w:cs="Arial"/>
          <w:bCs/>
          <w:color w:val="000000"/>
          <w:sz w:val="24"/>
          <w:szCs w:val="20"/>
          <w:shd w:val="clear" w:color="auto" w:fill="FFFFFF"/>
        </w:rPr>
        <w:t xml:space="preserve"> ou les reins</w:t>
      </w:r>
      <w:r>
        <w:rPr>
          <w:rFonts w:cs="Arial"/>
          <w:bCs/>
          <w:color w:val="000000"/>
          <w:sz w:val="24"/>
          <w:szCs w:val="20"/>
          <w:shd w:val="clear" w:color="auto" w:fill="FFFFFF"/>
        </w:rPr>
        <w:t>. Elle a un intérêt biologique de par le fait qu'elle constitue un marqueur de nombreuses</w:t>
      </w:r>
      <w:r w:rsidR="000D3459">
        <w:rPr>
          <w:rFonts w:cs="Arial"/>
          <w:bCs/>
          <w:color w:val="000000"/>
          <w:sz w:val="24"/>
          <w:szCs w:val="20"/>
          <w:shd w:val="clear" w:color="auto" w:fill="FFFFFF"/>
        </w:rPr>
        <w:t xml:space="preserve"> maladies puisqu'il s'agit d'une enzyme sérique, mais aussi car elle permet de </w:t>
      </w:r>
      <w:proofErr w:type="spellStart"/>
      <w:r w:rsidR="000D3459">
        <w:rPr>
          <w:rFonts w:cs="Arial"/>
          <w:bCs/>
          <w:color w:val="000000"/>
          <w:sz w:val="24"/>
          <w:szCs w:val="20"/>
          <w:shd w:val="clear" w:color="auto" w:fill="FFFFFF"/>
        </w:rPr>
        <w:t>déphosphoryler</w:t>
      </w:r>
      <w:proofErr w:type="spellEnd"/>
      <w:r w:rsidR="000D3459">
        <w:rPr>
          <w:rFonts w:cs="Arial"/>
          <w:bCs/>
          <w:color w:val="000000"/>
          <w:sz w:val="24"/>
          <w:szCs w:val="20"/>
          <w:shd w:val="clear" w:color="auto" w:fill="FFFFFF"/>
        </w:rPr>
        <w:t xml:space="preserve"> ARN et ADN. De plus, elles jouent un rôle dans le transport de métabolites via les membranes cellulaires.</w:t>
      </w:r>
      <w:r w:rsidR="000D3459">
        <w:rPr>
          <w:rFonts w:cs="Arial"/>
          <w:bCs/>
          <w:color w:val="000000"/>
          <w:sz w:val="24"/>
          <w:szCs w:val="20"/>
          <w:shd w:val="clear" w:color="auto" w:fill="FFFFFF"/>
        </w:rPr>
        <w:br/>
        <w:t xml:space="preserve">Des anémies ou insuffisances hépatiques sont l'effet d'une baisse de l'activité de l'enzyme, à contrario, des cancers localisés ou maladies osseuses sont la conséquence d'une hausse de l'activité de la </w:t>
      </w:r>
      <w:r w:rsidR="000D3459" w:rsidRPr="000D3459">
        <w:rPr>
          <w:rFonts w:cs="Arial"/>
          <w:bCs/>
          <w:sz w:val="24"/>
          <w:szCs w:val="24"/>
          <w:shd w:val="clear" w:color="auto" w:fill="FFFFFF"/>
        </w:rPr>
        <w:t>phosphatase alcaline</w:t>
      </w:r>
      <w:r w:rsidR="000D3459">
        <w:rPr>
          <w:rFonts w:cs="Arial"/>
          <w:bCs/>
          <w:sz w:val="24"/>
          <w:szCs w:val="24"/>
          <w:shd w:val="clear" w:color="auto" w:fill="FFFFFF"/>
        </w:rPr>
        <w:t>.</w:t>
      </w:r>
    </w:p>
    <w:p w:rsidR="00D347DF" w:rsidRDefault="000D3459" w:rsidP="00D347DF">
      <w:pPr>
        <w:tabs>
          <w:tab w:val="left" w:pos="0"/>
        </w:tabs>
        <w:rPr>
          <w:rFonts w:cs="Arial"/>
          <w:bCs/>
          <w:sz w:val="24"/>
          <w:szCs w:val="24"/>
          <w:shd w:val="clear" w:color="auto" w:fill="FFFFFF"/>
        </w:rPr>
      </w:pPr>
      <w:r>
        <w:rPr>
          <w:rFonts w:cs="Arial"/>
          <w:bCs/>
          <w:sz w:val="24"/>
          <w:szCs w:val="24"/>
          <w:shd w:val="clear" w:color="auto" w:fill="FFFFFF"/>
        </w:rPr>
        <w:t xml:space="preserve">La </w:t>
      </w:r>
      <w:proofErr w:type="spellStart"/>
      <w:r>
        <w:rPr>
          <w:rFonts w:cs="Arial"/>
          <w:bCs/>
          <w:sz w:val="24"/>
          <w:szCs w:val="24"/>
          <w:shd w:val="clear" w:color="auto" w:fill="FFFFFF"/>
        </w:rPr>
        <w:t>péroxydase</w:t>
      </w:r>
      <w:proofErr w:type="spellEnd"/>
      <w:r w:rsidR="00D347DF">
        <w:rPr>
          <w:rFonts w:cs="Arial"/>
          <w:bCs/>
          <w:sz w:val="24"/>
          <w:szCs w:val="24"/>
          <w:shd w:val="clear" w:color="auto" w:fill="FFFFFF"/>
        </w:rPr>
        <w:t xml:space="preserve"> est couramment utilisée en tant qu'agent antimicrobien (de conservation) pour le lait ou pour le traitement des fruits. Elle se trouve généralement dans la salive, les plaques buccales ou les globules blancs</w:t>
      </w:r>
      <w:r w:rsidR="00473DE8">
        <w:rPr>
          <w:rFonts w:cs="Arial"/>
          <w:bCs/>
          <w:sz w:val="24"/>
          <w:szCs w:val="24"/>
          <w:shd w:val="clear" w:color="auto" w:fill="FFFFFF"/>
        </w:rPr>
        <w:t>, et sert aussi dans des domaines tels que la coloration/décoloration et l'immunité.</w:t>
      </w:r>
    </w:p>
    <w:p w:rsidR="00473DE8" w:rsidRPr="00473DE8" w:rsidRDefault="00473DE8" w:rsidP="00D347DF">
      <w:pPr>
        <w:tabs>
          <w:tab w:val="left" w:pos="0"/>
        </w:tabs>
        <w:rPr>
          <w:rFonts w:cs="Arial"/>
          <w:bCs/>
          <w:color w:val="1F497D" w:themeColor="text2"/>
          <w:sz w:val="24"/>
          <w:szCs w:val="24"/>
          <w:shd w:val="clear" w:color="auto" w:fill="FFFFFF"/>
        </w:rPr>
      </w:pPr>
    </w:p>
    <w:p w:rsidR="00473DE8" w:rsidRPr="00473DE8" w:rsidRDefault="00473DE8" w:rsidP="00D347DF">
      <w:pPr>
        <w:tabs>
          <w:tab w:val="left" w:pos="0"/>
        </w:tabs>
        <w:rPr>
          <w:rFonts w:cs="Arial"/>
          <w:bCs/>
          <w:color w:val="1F497D" w:themeColor="text2"/>
          <w:sz w:val="24"/>
          <w:szCs w:val="24"/>
          <w:shd w:val="clear" w:color="auto" w:fill="FFFFFF"/>
        </w:rPr>
      </w:pPr>
      <w:r w:rsidRPr="00473DE8">
        <w:rPr>
          <w:rFonts w:cs="Arial"/>
          <w:b/>
          <w:bCs/>
          <w:color w:val="1F497D" w:themeColor="text2"/>
          <w:sz w:val="24"/>
          <w:szCs w:val="24"/>
          <w:shd w:val="clear" w:color="auto" w:fill="FFFFFF"/>
        </w:rPr>
        <w:t xml:space="preserve">Bibliographie : </w:t>
      </w:r>
      <w:r w:rsidRPr="00473DE8">
        <w:rPr>
          <w:rFonts w:cs="Arial"/>
          <w:b/>
          <w:bCs/>
          <w:color w:val="1F497D" w:themeColor="text2"/>
          <w:sz w:val="24"/>
          <w:szCs w:val="24"/>
          <w:shd w:val="clear" w:color="auto" w:fill="FFFFFF"/>
        </w:rPr>
        <w:br/>
      </w:r>
      <w:hyperlink r:id="rId4" w:history="1">
        <w:r w:rsidRPr="00473DE8">
          <w:rPr>
            <w:rStyle w:val="Lienhypertexte"/>
            <w:i/>
            <w:color w:val="1F497D" w:themeColor="text2"/>
            <w:u w:val="none"/>
          </w:rPr>
          <w:t>http://fr.wikipedia.org/wiki/Lactoperoxydase</w:t>
        </w:r>
      </w:hyperlink>
      <w:r w:rsidRPr="00473DE8">
        <w:rPr>
          <w:i/>
          <w:color w:val="1F497D" w:themeColor="text2"/>
        </w:rPr>
        <w:br/>
      </w:r>
      <w:hyperlink r:id="rId5" w:history="1">
        <w:r w:rsidRPr="00473DE8">
          <w:rPr>
            <w:rStyle w:val="Lienhypertexte"/>
            <w:i/>
            <w:color w:val="1F497D" w:themeColor="text2"/>
            <w:u w:val="none"/>
          </w:rPr>
          <w:t>http://www.economie.gouv.fr/files/directions_services/daj/marches_publics/oeap/gem/produits_laitiers/5.1.1.2.pdf</w:t>
        </w:r>
      </w:hyperlink>
      <w:r w:rsidRPr="00473DE8">
        <w:rPr>
          <w:i/>
          <w:color w:val="1F497D" w:themeColor="text2"/>
        </w:rPr>
        <w:br/>
      </w:r>
      <w:hyperlink r:id="rId6" w:history="1">
        <w:r w:rsidRPr="00473DE8">
          <w:rPr>
            <w:rStyle w:val="Lienhypertexte"/>
            <w:i/>
            <w:color w:val="1F497D" w:themeColor="text2"/>
            <w:u w:val="none"/>
          </w:rPr>
          <w:t>http://www.er.uqam.ca/nobel/c3542/ghassan/introduction.htm</w:t>
        </w:r>
      </w:hyperlink>
      <w:r w:rsidRPr="00473DE8">
        <w:rPr>
          <w:i/>
          <w:color w:val="1F497D" w:themeColor="text2"/>
        </w:rPr>
        <w:br/>
      </w:r>
      <w:hyperlink r:id="rId7" w:history="1">
        <w:r w:rsidRPr="00473DE8">
          <w:rPr>
            <w:rStyle w:val="Lienhypertexte"/>
            <w:i/>
            <w:color w:val="1F497D" w:themeColor="text2"/>
            <w:u w:val="none"/>
          </w:rPr>
          <w:t>http://esilrch1.esi.umontreal.ca/~syguschj/cours/BCM1502/Web-Notes/5b_Phosphatase_alkaline_suppl.pdf</w:t>
        </w:r>
      </w:hyperlink>
      <w:r w:rsidRPr="00473DE8">
        <w:rPr>
          <w:i/>
          <w:color w:val="1F497D" w:themeColor="text2"/>
        </w:rPr>
        <w:br/>
      </w:r>
      <w:hyperlink r:id="rId8" w:history="1">
        <w:r w:rsidRPr="00473DE8">
          <w:rPr>
            <w:rStyle w:val="Lienhypertexte"/>
            <w:i/>
            <w:color w:val="1F497D" w:themeColor="text2"/>
            <w:u w:val="none"/>
          </w:rPr>
          <w:t>http://fr.wikipedia.org/wiki/Phosphatase_alcaline</w:t>
        </w:r>
      </w:hyperlink>
      <w:r w:rsidRPr="00473DE8">
        <w:rPr>
          <w:i/>
          <w:color w:val="1F497D" w:themeColor="text2"/>
        </w:rPr>
        <w:br/>
      </w:r>
      <w:hyperlink r:id="rId9" w:history="1">
        <w:r w:rsidRPr="00473DE8">
          <w:rPr>
            <w:rStyle w:val="Lienhypertexte"/>
            <w:i/>
            <w:color w:val="1F497D" w:themeColor="text2"/>
            <w:u w:val="none"/>
          </w:rPr>
          <w:t>http://www.ac-grenoble.fr/disciplines/sti-biotechnologies/articles.php?pg=65</w:t>
        </w:r>
      </w:hyperlink>
      <w:r w:rsidRPr="00473DE8">
        <w:rPr>
          <w:i/>
          <w:color w:val="1F497D" w:themeColor="text2"/>
        </w:rPr>
        <w:br/>
        <w:t xml:space="preserve">Le contrôle d'hygiène du lait liquide, Franklin W Barber, B.S., M.S. </w:t>
      </w:r>
      <w:proofErr w:type="spellStart"/>
      <w:r w:rsidRPr="00473DE8">
        <w:rPr>
          <w:i/>
          <w:color w:val="1F497D" w:themeColor="text2"/>
        </w:rPr>
        <w:t>Ph.D</w:t>
      </w:r>
      <w:proofErr w:type="spellEnd"/>
      <w:r w:rsidRPr="00473DE8">
        <w:rPr>
          <w:i/>
          <w:color w:val="1F497D" w:themeColor="text2"/>
        </w:rPr>
        <w:t>.</w:t>
      </w:r>
    </w:p>
    <w:sectPr w:rsidR="00473DE8" w:rsidRPr="00473DE8" w:rsidSect="008C7B38">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D3459"/>
    <w:rsid w:val="00116EB3"/>
    <w:rsid w:val="002204C0"/>
    <w:rsid w:val="00244A18"/>
    <w:rsid w:val="002E689E"/>
    <w:rsid w:val="003E3AD2"/>
    <w:rsid w:val="00473DE8"/>
    <w:rsid w:val="004E2133"/>
    <w:rsid w:val="0051019D"/>
    <w:rsid w:val="005406F0"/>
    <w:rsid w:val="00665F10"/>
    <w:rsid w:val="007746D7"/>
    <w:rsid w:val="007C1EE2"/>
    <w:rsid w:val="007E373A"/>
    <w:rsid w:val="00852425"/>
    <w:rsid w:val="008C083B"/>
    <w:rsid w:val="008C7B38"/>
    <w:rsid w:val="00A50DFA"/>
    <w:rsid w:val="00A8220D"/>
    <w:rsid w:val="00B14FF4"/>
    <w:rsid w:val="00B203D7"/>
    <w:rsid w:val="00C34384"/>
    <w:rsid w:val="00C50C95"/>
    <w:rsid w:val="00CD122B"/>
    <w:rsid w:val="00D347DF"/>
    <w:rsid w:val="00D56B62"/>
    <w:rsid w:val="00E34967"/>
    <w:rsid w:val="00F309F3"/>
    <w:rsid w:val="00FA6E49"/>
    <w:rsid w:val="00FE6F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B38"/>
    <w:pPr>
      <w:ind w:left="720"/>
      <w:contextualSpacing/>
    </w:pPr>
  </w:style>
  <w:style w:type="table" w:styleId="Grilledutableau">
    <w:name w:val="Table Grid"/>
    <w:basedOn w:val="TableauNormal"/>
    <w:uiPriority w:val="59"/>
    <w:rsid w:val="008C0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473D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Phosphatase_alcaline" TargetMode="External"/><Relationship Id="rId3" Type="http://schemas.openxmlformats.org/officeDocument/2006/relationships/webSettings" Target="webSettings.xml"/><Relationship Id="rId7" Type="http://schemas.openxmlformats.org/officeDocument/2006/relationships/hyperlink" Target="http://esilrch1.esi.umontreal.ca/~syguschj/cours/BCM1502/Web-Notes/5b_Phosphatase_alkaline_supp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r.uqam.ca/nobel/c3542/ghassan/introduction.htm" TargetMode="External"/><Relationship Id="rId11" Type="http://schemas.openxmlformats.org/officeDocument/2006/relationships/theme" Target="theme/theme1.xml"/><Relationship Id="rId5" Type="http://schemas.openxmlformats.org/officeDocument/2006/relationships/hyperlink" Target="http://www.economie.gouv.fr/files/directions_services/daj/marches_publics/oeap/gem/produits_laitiers/5.1.1.2.pdf" TargetMode="External"/><Relationship Id="rId10" Type="http://schemas.openxmlformats.org/officeDocument/2006/relationships/fontTable" Target="fontTable.xml"/><Relationship Id="rId4" Type="http://schemas.openxmlformats.org/officeDocument/2006/relationships/hyperlink" Target="http://fr.wikipedia.org/wiki/Lactoperoxydase" TargetMode="External"/><Relationship Id="rId9" Type="http://schemas.openxmlformats.org/officeDocument/2006/relationships/hyperlink" Target="http://www.ac-grenoble.fr/disciplines/sti-biotechnologies/articles.php?pg=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753</Words>
  <Characters>4146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10</cp:revision>
  <dcterms:created xsi:type="dcterms:W3CDTF">2013-12-30T19:01:00Z</dcterms:created>
  <dcterms:modified xsi:type="dcterms:W3CDTF">2013-12-31T14:07:00Z</dcterms:modified>
</cp:coreProperties>
</file>