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  <w:r w:rsidRPr="007C1EE2">
        <w:rPr>
          <w:rFonts w:ascii="Comic Sans MS" w:hAnsi="Comic Sans MS"/>
        </w:rPr>
        <w:t>FORCIONE Sylvain</w:t>
      </w:r>
      <w:r w:rsidRPr="007C1EE2">
        <w:tab/>
      </w:r>
      <w:r w:rsidRPr="007C1EE2">
        <w:rPr>
          <w:rFonts w:ascii="Comic Sans MS" w:hAnsi="Comic Sans MS"/>
        </w:rPr>
        <w:t>Groupe 1</w:t>
      </w:r>
      <w:r w:rsidRPr="007C1EE2">
        <w:rPr>
          <w:rFonts w:ascii="Comic Sans MS" w:hAnsi="Comic Sans MS"/>
        </w:rPr>
        <w:br/>
        <w:t>SELIG Matthieu</w:t>
      </w:r>
      <w:r w:rsidRPr="007C1EE2">
        <w:rPr>
          <w:rFonts w:ascii="Comic Sans MS" w:hAnsi="Comic Sans MS"/>
        </w:rPr>
        <w:tab/>
        <w:t>Promotion 45</w:t>
      </w:r>
    </w:p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</w:p>
    <w:p w:rsidR="007C1EE2" w:rsidRDefault="001F0C18" w:rsidP="007C1EE2">
      <w:pPr>
        <w:tabs>
          <w:tab w:val="left" w:pos="7655"/>
        </w:tabs>
        <w:jc w:val="center"/>
        <w:rPr>
          <w:b/>
          <w:smallCaps/>
          <w:color w:val="FF0000"/>
          <w:sz w:val="36"/>
          <w:u w:val="single"/>
        </w:rPr>
      </w:pPr>
      <w:r>
        <w:rPr>
          <w:b/>
          <w:smallCaps/>
          <w:color w:val="FF0000"/>
          <w:sz w:val="36"/>
          <w:u w:val="single"/>
        </w:rPr>
        <w:t>Aliment Phosphore</w:t>
      </w:r>
    </w:p>
    <w:p w:rsidR="004E2133" w:rsidRDefault="00116EB3" w:rsidP="001F0C18">
      <w:pPr>
        <w:tabs>
          <w:tab w:val="left" w:pos="7655"/>
        </w:tabs>
        <w:jc w:val="center"/>
        <w:rPr>
          <w:b/>
          <w:color w:val="00B050"/>
          <w:sz w:val="32"/>
          <w:u w:val="single"/>
        </w:rPr>
      </w:pPr>
      <w:r w:rsidRPr="004E6B58">
        <w:rPr>
          <w:b/>
          <w:color w:val="00B050"/>
          <w:sz w:val="32"/>
          <w:u w:val="single"/>
        </w:rPr>
        <w:t>Principe de la méthode</w:t>
      </w:r>
    </w:p>
    <w:p w:rsidR="007746D7" w:rsidRDefault="004E2133" w:rsidP="007746D7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7746D7">
        <w:rPr>
          <w:color w:val="000000" w:themeColor="text1"/>
          <w:sz w:val="24"/>
          <w:szCs w:val="24"/>
        </w:rPr>
        <w:t>L</w:t>
      </w:r>
      <w:r w:rsidR="00D21376">
        <w:rPr>
          <w:color w:val="000000" w:themeColor="text1"/>
          <w:sz w:val="24"/>
          <w:szCs w:val="24"/>
        </w:rPr>
        <w:t>e principe de cette manipulation est d'incinérer une masse pesée de notre échantillon de maïs avant de réaliser une étude au spectrophotomètre pour déterminer sa teneur en phosphore.</w:t>
      </w:r>
    </w:p>
    <w:p w:rsidR="00B868F6" w:rsidRDefault="00D21376" w:rsidP="00FB6B4D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 commence par peser environ précisément 1g de maïs broyé (c'est-à-dire que l'on peut peser environ 1g mais relever précisément tous les décimales), ainsi que 0,4g de CaCO</w:t>
      </w:r>
      <w:r w:rsidRPr="00D21376">
        <w:rPr>
          <w:color w:val="000000" w:themeColor="text1"/>
          <w:sz w:val="24"/>
          <w:szCs w:val="24"/>
          <w:vertAlign w:val="subscript"/>
        </w:rPr>
        <w:t>3</w:t>
      </w:r>
      <w:r>
        <w:rPr>
          <w:color w:val="000000" w:themeColor="text1"/>
          <w:sz w:val="24"/>
          <w:szCs w:val="24"/>
          <w:vertAlign w:val="subscript"/>
        </w:rPr>
        <w:t xml:space="preserve"> </w:t>
      </w:r>
      <w:r>
        <w:rPr>
          <w:color w:val="000000" w:themeColor="text1"/>
          <w:sz w:val="24"/>
          <w:szCs w:val="24"/>
        </w:rPr>
        <w:t>que l'on introduira dans une capsule sèche et auparavant tarée et on homogénéise le tout.  On place alors la capsule au four à 550°C durant à peu près 6h (vérifier au bout d'une quarantaine de minutes si la température à atteint 550°C). C'est la minéralisation.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  <w:t>Après ce délai, on récupérera les cendres (grises/blanches) que l'on évaporera à sec au bain de sable (à "enterrer" dedans)</w:t>
      </w:r>
      <w:r w:rsidR="00B868F6">
        <w:rPr>
          <w:color w:val="000000" w:themeColor="text1"/>
          <w:sz w:val="24"/>
          <w:szCs w:val="24"/>
        </w:rPr>
        <w:t xml:space="preserve"> avec ajout préalable de 5mL d'acide chlorhydrique. Il faudra ensuite dissoudre le résidu avec 5mL d'acide nitrique puis faire bouillir 5 minutes au bain de sable (ne pas aller à sec !). Il est ensuite nécessaire de filtrer sur du papier sans cendre dans un </w:t>
      </w:r>
      <w:proofErr w:type="spellStart"/>
      <w:r w:rsidR="00B868F6">
        <w:rPr>
          <w:color w:val="000000" w:themeColor="text1"/>
          <w:sz w:val="24"/>
          <w:szCs w:val="24"/>
        </w:rPr>
        <w:t>erlen</w:t>
      </w:r>
      <w:proofErr w:type="spellEnd"/>
      <w:r w:rsidR="00B868F6">
        <w:rPr>
          <w:color w:val="000000" w:themeColor="text1"/>
          <w:sz w:val="24"/>
          <w:szCs w:val="24"/>
        </w:rPr>
        <w:t xml:space="preserve"> </w:t>
      </w:r>
      <w:proofErr w:type="spellStart"/>
      <w:r w:rsidR="00B868F6">
        <w:rPr>
          <w:color w:val="000000" w:themeColor="text1"/>
          <w:sz w:val="24"/>
          <w:szCs w:val="24"/>
        </w:rPr>
        <w:t>meyer</w:t>
      </w:r>
      <w:proofErr w:type="spellEnd"/>
      <w:r w:rsidR="00B868F6">
        <w:rPr>
          <w:color w:val="000000" w:themeColor="text1"/>
          <w:sz w:val="24"/>
          <w:szCs w:val="24"/>
        </w:rPr>
        <w:t xml:space="preserve"> de 200mL tout en lavant à l'eau chaude permutée pour qu'il n'y ait pas de pertes, jusqu'à refroidissement et on complète à 200mL avec ajout d'un </w:t>
      </w:r>
      <w:proofErr w:type="spellStart"/>
      <w:r w:rsidR="00B868F6">
        <w:rPr>
          <w:color w:val="000000" w:themeColor="text1"/>
          <w:sz w:val="24"/>
          <w:szCs w:val="24"/>
        </w:rPr>
        <w:t>parafilm</w:t>
      </w:r>
      <w:proofErr w:type="spellEnd"/>
      <w:r w:rsidR="00B868F6">
        <w:rPr>
          <w:color w:val="000000" w:themeColor="text1"/>
          <w:sz w:val="24"/>
          <w:szCs w:val="24"/>
        </w:rPr>
        <w:t>. On obtient la solution inconnue.</w:t>
      </w:r>
    </w:p>
    <w:p w:rsidR="00FB6B4D" w:rsidRDefault="00FB6B4D" w:rsidP="00FB6B4D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dispose  dans un ballon de 50mL, 10mL de la solution inconnue et 10mL du réactif </w:t>
      </w:r>
      <w:proofErr w:type="spellStart"/>
      <w:r>
        <w:rPr>
          <w:color w:val="000000" w:themeColor="text1"/>
          <w:sz w:val="24"/>
          <w:szCs w:val="24"/>
        </w:rPr>
        <w:t>nitrovanadomolybdique</w:t>
      </w:r>
      <w:proofErr w:type="spellEnd"/>
      <w:r>
        <w:rPr>
          <w:color w:val="000000" w:themeColor="text1"/>
          <w:sz w:val="24"/>
          <w:szCs w:val="24"/>
        </w:rPr>
        <w:t xml:space="preserve"> que l'on homogénéisera et laissera reposer 10 minutes minimum.</w:t>
      </w:r>
    </w:p>
    <w:p w:rsidR="00FB6B4D" w:rsidRDefault="00FB6B4D" w:rsidP="00FB6B4D">
      <w:pPr>
        <w:tabs>
          <w:tab w:val="left" w:pos="0"/>
        </w:tabs>
      </w:pPr>
      <w:r>
        <w:rPr>
          <w:color w:val="000000" w:themeColor="text1"/>
          <w:sz w:val="24"/>
          <w:szCs w:val="24"/>
        </w:rPr>
        <w:t xml:space="preserve">Réaliser un essai à blanc sur le spectrophotomètre en utilisant 10mL de </w:t>
      </w:r>
      <w:proofErr w:type="spellStart"/>
      <w:r>
        <w:rPr>
          <w:color w:val="000000" w:themeColor="text1"/>
          <w:sz w:val="24"/>
          <w:szCs w:val="24"/>
        </w:rPr>
        <w:t>nitrovanadomolybdique</w:t>
      </w:r>
      <w:proofErr w:type="spellEnd"/>
      <w:r>
        <w:rPr>
          <w:color w:val="000000" w:themeColor="text1"/>
          <w:sz w:val="24"/>
          <w:szCs w:val="24"/>
        </w:rPr>
        <w:t xml:space="preserve"> et 10mL d'eau permutée .Réaliser alors la mesure de la coloration à 430</w:t>
      </w:r>
      <w:r w:rsidRPr="00FB6B4D">
        <w:rPr>
          <w:sz w:val="24"/>
        </w:rPr>
        <w:sym w:font="Symbol" w:char="F06D"/>
      </w:r>
      <w:r>
        <w:rPr>
          <w:sz w:val="24"/>
        </w:rPr>
        <w:t xml:space="preserve">m avec notre dosage précédent en comparant à l'essai à blanc. Avec l'ordinateur, tracer </w:t>
      </w: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courbe étalon grâce à des solutions contenant une concentration en phosphore connue</w:t>
      </w:r>
      <w:r w:rsidR="006E294B">
        <w:rPr>
          <w:sz w:val="24"/>
        </w:rPr>
        <w:t xml:space="preserve"> (préparées à l'aide de la solution mère).</w:t>
      </w:r>
    </w:p>
    <w:p w:rsidR="00D21376" w:rsidRPr="00F23E0A" w:rsidRDefault="00D21376" w:rsidP="00D21376">
      <w:pPr>
        <w:ind w:firstLine="708"/>
      </w:pPr>
      <w:r>
        <w:t xml:space="preserve">On trace </w:t>
      </w:r>
      <w:proofErr w:type="gramStart"/>
      <w:r>
        <w:t>la courbe étalon réalisée</w:t>
      </w:r>
      <w:proofErr w:type="gramEnd"/>
      <w:r>
        <w:t xml:space="preserve"> grâce à des solutions dont les concentrations en phosphore sont connues, en préparant les cuves de la même façon que pour la solution à analyser. </w:t>
      </w:r>
      <w:r w:rsidR="006E294B">
        <w:t xml:space="preserve"> On relève alors l'intensité de la coloration de notre échantillon, or la concentration en phosphore est fonction de l'intensité de la coloration, on obtient donc la concentration recherchée.</w:t>
      </w:r>
    </w:p>
    <w:p w:rsidR="00D21376" w:rsidRDefault="00D21376" w:rsidP="007746D7">
      <w:pPr>
        <w:tabs>
          <w:tab w:val="left" w:pos="0"/>
        </w:tabs>
      </w:pPr>
    </w:p>
    <w:p w:rsidR="006E294B" w:rsidRDefault="006E294B" w:rsidP="007746D7">
      <w:pPr>
        <w:tabs>
          <w:tab w:val="left" w:pos="0"/>
        </w:tabs>
      </w:pPr>
    </w:p>
    <w:p w:rsidR="006E294B" w:rsidRDefault="006E294B" w:rsidP="006E294B">
      <w:pPr>
        <w:tabs>
          <w:tab w:val="left" w:pos="0"/>
        </w:tabs>
        <w:jc w:val="center"/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lastRenderedPageBreak/>
        <w:t>Discussion du résultat</w:t>
      </w:r>
    </w:p>
    <w:p w:rsidR="006E294B" w:rsidRPr="002C3550" w:rsidRDefault="006E294B" w:rsidP="006E294B">
      <w:pPr>
        <w:tabs>
          <w:tab w:val="left" w:pos="0"/>
        </w:tabs>
        <w:rPr>
          <w:color w:val="000000" w:themeColor="text1"/>
          <w:sz w:val="28"/>
          <w:szCs w:val="24"/>
        </w:rPr>
      </w:pPr>
      <w:r>
        <w:rPr>
          <w:color w:val="000000" w:themeColor="text1"/>
          <w:sz w:val="24"/>
          <w:szCs w:val="24"/>
        </w:rPr>
        <w:tab/>
        <w:t>Après analyse, nous avons trouvé 121,4</w:t>
      </w:r>
      <w:r w:rsidRPr="006E294B">
        <w:rPr>
          <w:sz w:val="24"/>
        </w:rPr>
        <w:t>µ</w:t>
      </w:r>
      <w:r>
        <w:rPr>
          <w:sz w:val="24"/>
        </w:rPr>
        <w:t>g/10mL (Q) de solution. Cependant, nous cherchons pour 200mL (Q'), on multiplie donc par 20 et on trouve Q' =</w:t>
      </w:r>
      <w:r w:rsidR="002C3550">
        <w:rPr>
          <w:sz w:val="24"/>
        </w:rPr>
        <w:t xml:space="preserve"> 2428</w:t>
      </w:r>
      <w:r w:rsidR="002C3550" w:rsidRPr="002C3550">
        <w:rPr>
          <w:sz w:val="24"/>
        </w:rPr>
        <w:t>µg</w:t>
      </w:r>
      <w:r w:rsidR="002C3550">
        <w:rPr>
          <w:sz w:val="24"/>
        </w:rPr>
        <w:t xml:space="preserve">. On cherche notre teneur en </w:t>
      </w:r>
      <w:r w:rsidR="002C3550" w:rsidRPr="002C3550">
        <w:rPr>
          <w:sz w:val="24"/>
        </w:rPr>
        <w:t>‰</w:t>
      </w:r>
      <w:r w:rsidR="002C3550">
        <w:rPr>
          <w:sz w:val="24"/>
        </w:rPr>
        <w:t xml:space="preserve">, d'où : </w:t>
      </w:r>
      <w:r w:rsidR="002C3550">
        <w:rPr>
          <w:sz w:val="24"/>
        </w:rPr>
        <w:br/>
      </w:r>
      <w:r w:rsidR="002C3550" w:rsidRPr="002C3550">
        <w:rPr>
          <w:b/>
          <w:sz w:val="24"/>
          <w:szCs w:val="24"/>
        </w:rPr>
        <w:t>Teneur (en ‰) = [Q'(</w:t>
      </w:r>
      <w:r w:rsidR="002C3550" w:rsidRPr="002C3550">
        <w:rPr>
          <w:b/>
          <w:sz w:val="24"/>
        </w:rPr>
        <w:t>µg</w:t>
      </w:r>
      <w:r w:rsidR="002C3550" w:rsidRPr="002C3550">
        <w:rPr>
          <w:b/>
          <w:sz w:val="24"/>
          <w:szCs w:val="24"/>
        </w:rPr>
        <w:t>) *10</w:t>
      </w:r>
      <w:r w:rsidR="002C3550" w:rsidRPr="002C3550">
        <w:rPr>
          <w:b/>
          <w:sz w:val="24"/>
          <w:szCs w:val="24"/>
          <w:vertAlign w:val="superscript"/>
        </w:rPr>
        <w:t>-6</w:t>
      </w:r>
      <w:r w:rsidR="002C3550" w:rsidRPr="002C3550">
        <w:rPr>
          <w:b/>
          <w:sz w:val="24"/>
          <w:szCs w:val="24"/>
        </w:rPr>
        <w:t>(g)*1000] / m (g)</w:t>
      </w:r>
      <w:r w:rsidR="002C3550">
        <w:rPr>
          <w:sz w:val="24"/>
          <w:szCs w:val="24"/>
        </w:rPr>
        <w:t>, avec m (masse initiale) = 0,9973g.</w:t>
      </w:r>
      <w:r w:rsidR="002C3550">
        <w:rPr>
          <w:sz w:val="24"/>
          <w:szCs w:val="24"/>
        </w:rPr>
        <w:br/>
      </w:r>
      <w:r w:rsidR="002C3550" w:rsidRPr="002C3550">
        <w:rPr>
          <w:sz w:val="24"/>
          <w:szCs w:val="24"/>
        </w:rPr>
        <w:t>Ainsi, teneur en phosphore de 2,435‰ dans notre maïs fourrager.</w:t>
      </w:r>
      <w:r w:rsidR="00B23EEA">
        <w:rPr>
          <w:sz w:val="24"/>
          <w:szCs w:val="24"/>
        </w:rPr>
        <w:t xml:space="preserve"> </w:t>
      </w:r>
      <w:r w:rsidR="00B23EEA" w:rsidRPr="00B23EEA">
        <w:rPr>
          <w:sz w:val="24"/>
          <w:szCs w:val="24"/>
        </w:rPr>
        <w:br/>
        <w:t>Nous avons relevé une valeur d'un autre groupe pour cet élément, qui est de 2,5‰</w:t>
      </w:r>
      <w:r w:rsidR="00B23EEA">
        <w:rPr>
          <w:sz w:val="24"/>
          <w:szCs w:val="24"/>
        </w:rPr>
        <w:t xml:space="preserve">, ce qui est donc très proche de notre résultat. </w:t>
      </w:r>
    </w:p>
    <w:p w:rsidR="006E294B" w:rsidRDefault="00B23EEA" w:rsidP="006E294B">
      <w:pPr>
        <w:jc w:val="both"/>
        <w:rPr>
          <w:sz w:val="24"/>
          <w:szCs w:val="24"/>
        </w:rPr>
      </w:pPr>
      <w:r>
        <w:rPr>
          <w:sz w:val="24"/>
        </w:rPr>
        <w:t xml:space="preserve">Après quelques recherches plus approfondies, la teneur en phosphore d'un maïs fourrager est </w:t>
      </w:r>
      <w:r w:rsidR="00035456">
        <w:rPr>
          <w:sz w:val="24"/>
        </w:rPr>
        <w:t xml:space="preserve">généralement comprise entre 0,17% et 0,21%, notre résultat est donc légèrement supérieur à ces valeurs </w:t>
      </w:r>
      <w:r>
        <w:rPr>
          <w:sz w:val="24"/>
        </w:rPr>
        <w:t>(2,43</w:t>
      </w:r>
      <w:r w:rsidRPr="00B23EEA">
        <w:rPr>
          <w:sz w:val="24"/>
        </w:rPr>
        <w:t>5</w:t>
      </w:r>
      <w:r w:rsidRPr="00B23EEA">
        <w:rPr>
          <w:sz w:val="24"/>
          <w:szCs w:val="24"/>
        </w:rPr>
        <w:t>‰</w:t>
      </w:r>
      <w:r>
        <w:rPr>
          <w:sz w:val="24"/>
          <w:szCs w:val="24"/>
        </w:rPr>
        <w:t xml:space="preserve"> =&gt; 0,244%).</w:t>
      </w:r>
    </w:p>
    <w:p w:rsidR="00035456" w:rsidRDefault="00035456" w:rsidP="006E294B">
      <w:pPr>
        <w:jc w:val="both"/>
        <w:rPr>
          <w:sz w:val="24"/>
          <w:szCs w:val="24"/>
        </w:rPr>
      </w:pPr>
    </w:p>
    <w:p w:rsidR="00035456" w:rsidRDefault="00035456" w:rsidP="00035456">
      <w:pPr>
        <w:tabs>
          <w:tab w:val="left" w:pos="0"/>
        </w:tabs>
        <w:jc w:val="center"/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t>Rôle de l'élément dosé</w:t>
      </w:r>
    </w:p>
    <w:p w:rsidR="00C80D81" w:rsidRDefault="00C80D81" w:rsidP="00035456">
      <w:pPr>
        <w:tabs>
          <w:tab w:val="left" w:pos="0"/>
        </w:tabs>
        <w:jc w:val="center"/>
        <w:rPr>
          <w:b/>
          <w:color w:val="00B050"/>
          <w:sz w:val="32"/>
          <w:u w:val="single"/>
        </w:rPr>
      </w:pPr>
    </w:p>
    <w:p w:rsidR="00C80D81" w:rsidRDefault="00035456" w:rsidP="00C80D8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80D81">
        <w:rPr>
          <w:sz w:val="24"/>
          <w:szCs w:val="24"/>
        </w:rPr>
        <w:t>Il est présent sous forme de phosphate dans l'organisme. Il est apporté par l'alimentation et absorbé par l'intestin. Chez les vaches, le phosphore sera récupéré dans le sang</w:t>
      </w:r>
      <w:r w:rsidR="00D30B10">
        <w:rPr>
          <w:sz w:val="24"/>
          <w:szCs w:val="24"/>
        </w:rPr>
        <w:t xml:space="preserve"> (sous forme de phosphate inorganique)</w:t>
      </w:r>
      <w:r w:rsidR="00C80D81">
        <w:rPr>
          <w:sz w:val="24"/>
          <w:szCs w:val="24"/>
        </w:rPr>
        <w:t xml:space="preserve"> et ira dans la panse via la salive. </w:t>
      </w:r>
      <w:r w:rsidR="00764260">
        <w:rPr>
          <w:sz w:val="24"/>
          <w:szCs w:val="24"/>
        </w:rPr>
        <w:t xml:space="preserve">Il servira à préserver le pH du sang dans la normale. </w:t>
      </w:r>
      <w:r w:rsidR="00C80D81">
        <w:rPr>
          <w:sz w:val="24"/>
          <w:szCs w:val="24"/>
        </w:rPr>
        <w:t>90% du phosphore est présent dans le squelette et lui confère sa robustesse (avec l'aide du calcium), il est aussi présent dans les membranes cellulaires</w:t>
      </w:r>
      <w:r w:rsidR="00764260">
        <w:rPr>
          <w:sz w:val="24"/>
          <w:szCs w:val="24"/>
        </w:rPr>
        <w:t xml:space="preserve"> et permet les flux d'énergie de l'organisme. Il se trouve aussi dans l'</w:t>
      </w:r>
      <w:proofErr w:type="spellStart"/>
      <w:r w:rsidR="00764260">
        <w:rPr>
          <w:sz w:val="24"/>
          <w:szCs w:val="24"/>
        </w:rPr>
        <w:t>ADNet</w:t>
      </w:r>
      <w:proofErr w:type="spellEnd"/>
      <w:r w:rsidR="00764260">
        <w:rPr>
          <w:sz w:val="24"/>
          <w:szCs w:val="24"/>
        </w:rPr>
        <w:t xml:space="preserve"> l'ARN.</w:t>
      </w:r>
      <w:r w:rsidR="00764260" w:rsidRPr="00764260">
        <w:rPr>
          <w:sz w:val="24"/>
          <w:szCs w:val="24"/>
        </w:rPr>
        <w:t xml:space="preserve"> </w:t>
      </w:r>
      <w:r w:rsidR="00764260">
        <w:rPr>
          <w:sz w:val="24"/>
          <w:szCs w:val="24"/>
        </w:rPr>
        <w:t>Un apport adapté permet d'assurer une croissance stable et le fonctionnement de l'animal. Chez un vieil animal</w:t>
      </w:r>
      <w:r w:rsidR="00D30B10">
        <w:rPr>
          <w:sz w:val="24"/>
          <w:szCs w:val="24"/>
        </w:rPr>
        <w:t xml:space="preserve"> ou un animal souffrant</w:t>
      </w:r>
      <w:r w:rsidR="00764260">
        <w:rPr>
          <w:sz w:val="24"/>
          <w:szCs w:val="24"/>
        </w:rPr>
        <w:t xml:space="preserve">, </w:t>
      </w:r>
      <w:r w:rsidR="00D30B10">
        <w:rPr>
          <w:sz w:val="24"/>
          <w:szCs w:val="24"/>
        </w:rPr>
        <w:t>il</w:t>
      </w:r>
      <w:r w:rsidR="00764260">
        <w:rPr>
          <w:sz w:val="24"/>
          <w:szCs w:val="24"/>
        </w:rPr>
        <w:t xml:space="preserve"> est préférable de réduire sa consommation de phosphore car un surplus pourrait provoquer des insuff</w:t>
      </w:r>
      <w:r w:rsidR="00D30B10">
        <w:rPr>
          <w:sz w:val="24"/>
          <w:szCs w:val="24"/>
        </w:rPr>
        <w:t xml:space="preserve">isances rénales dues à la perturbation de l'absorption du calcium. Une carence en phosphore est assez inattendue mais elle peut engendrer une déminéralisation des os. </w:t>
      </w:r>
    </w:p>
    <w:p w:rsidR="00C80D81" w:rsidRDefault="00D30B10" w:rsidP="00C80D81">
      <w:r>
        <w:t>Il existe d'ailleurs un coefficient liant le phosphore et le calcium tel que le ratio du calcium par rapport au phosphore doit être compris entre 1 et 2. En dessous de 0,5 il y a trop de phosphore et on tombe dans le cas cité au dessus.</w:t>
      </w:r>
    </w:p>
    <w:p w:rsidR="00C80D81" w:rsidRDefault="007E0107" w:rsidP="00C80D81">
      <w:r>
        <w:t>On peut donc comparer notre valeur avec celle trouvée pour le calcium (0,20%) et on remarque que le rapport C/P est inférieur à 1, alors qu'il devrait être légèrement supérieur pour des conditions optimales pour l'animal.</w:t>
      </w:r>
    </w:p>
    <w:p w:rsidR="00035456" w:rsidRDefault="00035456" w:rsidP="006E294B">
      <w:pPr>
        <w:jc w:val="both"/>
        <w:rPr>
          <w:sz w:val="24"/>
          <w:szCs w:val="24"/>
        </w:rPr>
      </w:pPr>
    </w:p>
    <w:p w:rsidR="00035456" w:rsidRDefault="00035456" w:rsidP="006E294B">
      <w:pPr>
        <w:jc w:val="both"/>
        <w:rPr>
          <w:sz w:val="24"/>
          <w:szCs w:val="24"/>
        </w:rPr>
      </w:pPr>
    </w:p>
    <w:p w:rsidR="00035456" w:rsidRPr="007E0107" w:rsidRDefault="00035456" w:rsidP="006E294B">
      <w:pPr>
        <w:jc w:val="both"/>
        <w:rPr>
          <w:color w:val="1F497D" w:themeColor="text2"/>
          <w:sz w:val="24"/>
        </w:rPr>
      </w:pPr>
      <w:r w:rsidRPr="007E0107">
        <w:rPr>
          <w:b/>
          <w:color w:val="1F497D" w:themeColor="text2"/>
          <w:sz w:val="24"/>
          <w:szCs w:val="24"/>
        </w:rPr>
        <w:lastRenderedPageBreak/>
        <w:t>Bibliographie</w:t>
      </w:r>
      <w:r w:rsidRPr="007E0107">
        <w:rPr>
          <w:color w:val="1F497D" w:themeColor="text2"/>
          <w:sz w:val="24"/>
          <w:szCs w:val="24"/>
        </w:rPr>
        <w:t xml:space="preserve"> : </w:t>
      </w:r>
      <w:r w:rsidRPr="007E0107">
        <w:rPr>
          <w:color w:val="1F497D" w:themeColor="text2"/>
          <w:sz w:val="24"/>
          <w:szCs w:val="24"/>
        </w:rPr>
        <w:br/>
      </w:r>
      <w:hyperlink r:id="rId4" w:history="1">
        <w:r w:rsidRPr="007E0107">
          <w:rPr>
            <w:rStyle w:val="Lienhypertexte"/>
            <w:i/>
            <w:color w:val="1F497D" w:themeColor="text2"/>
            <w:u w:val="none"/>
          </w:rPr>
          <w:t>http://www.lafranceagricole.fr/Archi</w:t>
        </w:r>
        <w:r w:rsidRPr="007E0107">
          <w:rPr>
            <w:rStyle w:val="Lienhypertexte"/>
            <w:i/>
            <w:color w:val="1F497D" w:themeColor="text2"/>
            <w:u w:val="none"/>
          </w:rPr>
          <w:t>v</w:t>
        </w:r>
        <w:r w:rsidRPr="007E0107">
          <w:rPr>
            <w:rStyle w:val="Lienhypertexte"/>
            <w:i/>
            <w:color w:val="1F497D" w:themeColor="text2"/>
            <w:u w:val="none"/>
          </w:rPr>
          <w:t>es/articlexml/15506</w:t>
        </w:r>
      </w:hyperlink>
      <w:r w:rsidRPr="007E0107">
        <w:rPr>
          <w:i/>
          <w:color w:val="1F497D" w:themeColor="text2"/>
        </w:rPr>
        <w:br/>
      </w:r>
      <w:hyperlink r:id="rId5" w:history="1">
        <w:r w:rsidRPr="007E0107">
          <w:rPr>
            <w:rStyle w:val="Lienhypertexte"/>
            <w:i/>
            <w:color w:val="1F497D" w:themeColor="text2"/>
            <w:u w:val="none"/>
          </w:rPr>
          <w:t>http://www.journees</w:t>
        </w:r>
        <w:r w:rsidRPr="007E0107">
          <w:rPr>
            <w:rStyle w:val="Lienhypertexte"/>
            <w:i/>
            <w:color w:val="1F497D" w:themeColor="text2"/>
            <w:u w:val="none"/>
          </w:rPr>
          <w:t>3</w:t>
        </w:r>
        <w:r w:rsidRPr="007E0107">
          <w:rPr>
            <w:rStyle w:val="Lienhypertexte"/>
            <w:i/>
            <w:color w:val="1F497D" w:themeColor="text2"/>
            <w:u w:val="none"/>
          </w:rPr>
          <w:t>r.fr/I</w:t>
        </w:r>
        <w:r w:rsidRPr="007E0107">
          <w:rPr>
            <w:rStyle w:val="Lienhypertexte"/>
            <w:i/>
            <w:color w:val="1F497D" w:themeColor="text2"/>
            <w:u w:val="none"/>
          </w:rPr>
          <w:t>M</w:t>
        </w:r>
        <w:r w:rsidRPr="007E0107">
          <w:rPr>
            <w:rStyle w:val="Lienhypertexte"/>
            <w:i/>
            <w:color w:val="1F497D" w:themeColor="text2"/>
            <w:u w:val="none"/>
          </w:rPr>
          <w:t>G/pdf/alimentation_14_Beguin.pdf</w:t>
        </w:r>
      </w:hyperlink>
      <w:r w:rsidRPr="007E0107">
        <w:rPr>
          <w:i/>
          <w:color w:val="1F497D" w:themeColor="text2"/>
        </w:rPr>
        <w:br/>
      </w:r>
      <w:hyperlink r:id="rId6" w:history="1">
        <w:r w:rsidRPr="007E0107">
          <w:rPr>
            <w:rStyle w:val="Lienhypertexte"/>
            <w:i/>
            <w:color w:val="1F497D" w:themeColor="text2"/>
            <w:u w:val="none"/>
          </w:rPr>
          <w:t>http://www.agrires</w:t>
        </w:r>
        <w:r w:rsidRPr="007E0107">
          <w:rPr>
            <w:rStyle w:val="Lienhypertexte"/>
            <w:i/>
            <w:color w:val="1F497D" w:themeColor="text2"/>
            <w:u w:val="none"/>
          </w:rPr>
          <w:t>e</w:t>
        </w:r>
        <w:r w:rsidRPr="007E0107">
          <w:rPr>
            <w:rStyle w:val="Lienhypertexte"/>
            <w:i/>
            <w:color w:val="1F497D" w:themeColor="text2"/>
            <w:u w:val="none"/>
          </w:rPr>
          <w:t>au.qc.ca/bovinslaitiers/Documents/bov50.pdf</w:t>
        </w:r>
      </w:hyperlink>
      <w:r w:rsidR="007E0107" w:rsidRPr="007E0107">
        <w:rPr>
          <w:i/>
          <w:color w:val="1F497D" w:themeColor="text2"/>
        </w:rPr>
        <w:br/>
      </w:r>
      <w:hyperlink r:id="rId7" w:history="1">
        <w:r w:rsidR="007E0107" w:rsidRPr="007E0107">
          <w:rPr>
            <w:rStyle w:val="Lienhypertexte"/>
            <w:i/>
            <w:color w:val="1F497D" w:themeColor="text2"/>
            <w:u w:val="none"/>
          </w:rPr>
          <w:t>http://www.passeportsante.net/fr/VivreEnSante/MieuxManger/Fiche.aspx?doc=mineraux-leurs-fonctions-les-meilleures-sources_vs</w:t>
        </w:r>
      </w:hyperlink>
      <w:r w:rsidR="007E0107" w:rsidRPr="007E0107">
        <w:rPr>
          <w:i/>
          <w:color w:val="1F497D" w:themeColor="text2"/>
        </w:rPr>
        <w:br/>
      </w:r>
      <w:hyperlink r:id="rId8" w:history="1">
        <w:r w:rsidR="007E0107" w:rsidRPr="007E0107">
          <w:rPr>
            <w:rStyle w:val="Lienhypertexte"/>
            <w:i/>
            <w:color w:val="1F497D" w:themeColor="text2"/>
            <w:u w:val="none"/>
          </w:rPr>
          <w:t>http://www.la-viande.fr/la-rumination-chez-les-bovins</w:t>
        </w:r>
      </w:hyperlink>
      <w:r w:rsidR="007E0107" w:rsidRPr="007E0107">
        <w:rPr>
          <w:i/>
          <w:color w:val="1F497D" w:themeColor="text2"/>
        </w:rPr>
        <w:br/>
      </w:r>
      <w:hyperlink r:id="rId9" w:history="1">
        <w:r w:rsidR="007E0107" w:rsidRPr="007E0107">
          <w:rPr>
            <w:rStyle w:val="Lienhypertexte"/>
            <w:i/>
            <w:color w:val="1F497D" w:themeColor="text2"/>
            <w:u w:val="none"/>
          </w:rPr>
          <w:t>http://www.royalcanin.fr/La%20Nutrition%20Sant%C3%A9/les-nutriments/les-mineraux2/le-phosphore</w:t>
        </w:r>
      </w:hyperlink>
      <w:r w:rsidR="007E0107" w:rsidRPr="007E0107">
        <w:rPr>
          <w:i/>
          <w:color w:val="1F497D" w:themeColor="text2"/>
        </w:rPr>
        <w:br/>
      </w:r>
      <w:hyperlink r:id="rId10" w:history="1">
        <w:r w:rsidR="007E0107" w:rsidRPr="007E0107">
          <w:rPr>
            <w:rStyle w:val="Lienhypertexte"/>
            <w:i/>
            <w:color w:val="1F497D" w:themeColor="text2"/>
            <w:u w:val="none"/>
          </w:rPr>
          <w:t>http://www.milkandhealth.be/index.php?option=com_content&amp;view=article&amp;id=81&amp;Itemid=89&amp;lang=fr</w:t>
        </w:r>
      </w:hyperlink>
    </w:p>
    <w:sectPr w:rsidR="00035456" w:rsidRPr="007E0107" w:rsidSect="008C7B38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EE2"/>
    <w:rsid w:val="00035456"/>
    <w:rsid w:val="00116EB3"/>
    <w:rsid w:val="001C25D1"/>
    <w:rsid w:val="001F0C18"/>
    <w:rsid w:val="002C3550"/>
    <w:rsid w:val="004E2133"/>
    <w:rsid w:val="005406F0"/>
    <w:rsid w:val="006E294B"/>
    <w:rsid w:val="00764260"/>
    <w:rsid w:val="007746D7"/>
    <w:rsid w:val="007C1EE2"/>
    <w:rsid w:val="007E0107"/>
    <w:rsid w:val="00852425"/>
    <w:rsid w:val="008C7B38"/>
    <w:rsid w:val="00A50DFA"/>
    <w:rsid w:val="00B14FF4"/>
    <w:rsid w:val="00B23EEA"/>
    <w:rsid w:val="00B868F6"/>
    <w:rsid w:val="00C34384"/>
    <w:rsid w:val="00C80D81"/>
    <w:rsid w:val="00CD122B"/>
    <w:rsid w:val="00D21376"/>
    <w:rsid w:val="00D30B10"/>
    <w:rsid w:val="00FB6B4D"/>
    <w:rsid w:val="00FE6594"/>
    <w:rsid w:val="00FE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B3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03545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E010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-viande.fr/la-rumination-chez-les-bovi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sseportsante.net/fr/VivreEnSante/MieuxManger/Fiche.aspx?doc=mineraux-leurs-fonctions-les-meilleures-sources_v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grireseau.qc.ca/bovinslaitiers/Documents/bov50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ournees3r.fr/IMG/pdf/alimentation_14_Beguin.pdf" TargetMode="External"/><Relationship Id="rId10" Type="http://schemas.openxmlformats.org/officeDocument/2006/relationships/hyperlink" Target="http://www.milkandhealth.be/index.php?option=com_content&amp;view=article&amp;id=81&amp;Itemid=89&amp;lang=fr" TargetMode="External"/><Relationship Id="rId4" Type="http://schemas.openxmlformats.org/officeDocument/2006/relationships/hyperlink" Target="http://www.lafranceagricole.fr/Archives/articlexml/15506" TargetMode="External"/><Relationship Id="rId9" Type="http://schemas.openxmlformats.org/officeDocument/2006/relationships/hyperlink" Target="http://www.royalcanin.fr/La%20Nutrition%20Sant%C3%A9/les-nutriments/les-mineraux2/le-phosphor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3</cp:revision>
  <dcterms:created xsi:type="dcterms:W3CDTF">2013-12-28T14:45:00Z</dcterms:created>
  <dcterms:modified xsi:type="dcterms:W3CDTF">2013-12-28T17:06:00Z</dcterms:modified>
</cp:coreProperties>
</file>