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EE2" w:rsidRDefault="007C1EE2" w:rsidP="007C1EE2">
      <w:pPr>
        <w:tabs>
          <w:tab w:val="left" w:pos="7655"/>
        </w:tabs>
        <w:rPr>
          <w:rFonts w:ascii="Comic Sans MS" w:hAnsi="Comic Sans MS"/>
        </w:rPr>
      </w:pPr>
      <w:r w:rsidRPr="007C1EE2">
        <w:rPr>
          <w:rFonts w:ascii="Comic Sans MS" w:hAnsi="Comic Sans MS"/>
        </w:rPr>
        <w:t>FORCIONE Sylvain</w:t>
      </w:r>
      <w:r w:rsidRPr="007C1EE2">
        <w:tab/>
      </w:r>
      <w:r w:rsidRPr="007C1EE2">
        <w:rPr>
          <w:rFonts w:ascii="Comic Sans MS" w:hAnsi="Comic Sans MS"/>
        </w:rPr>
        <w:t>Groupe 1</w:t>
      </w:r>
      <w:r w:rsidRPr="007C1EE2">
        <w:rPr>
          <w:rFonts w:ascii="Comic Sans MS" w:hAnsi="Comic Sans MS"/>
        </w:rPr>
        <w:br/>
        <w:t>SELIG Matthieu</w:t>
      </w:r>
      <w:r w:rsidRPr="007C1EE2">
        <w:rPr>
          <w:rFonts w:ascii="Comic Sans MS" w:hAnsi="Comic Sans MS"/>
        </w:rPr>
        <w:tab/>
        <w:t>Promotion 45</w:t>
      </w:r>
    </w:p>
    <w:p w:rsidR="007C1EE2" w:rsidRDefault="007C1EE2" w:rsidP="007C1EE2">
      <w:pPr>
        <w:tabs>
          <w:tab w:val="left" w:pos="7655"/>
        </w:tabs>
        <w:rPr>
          <w:rFonts w:ascii="Comic Sans MS" w:hAnsi="Comic Sans MS"/>
        </w:rPr>
      </w:pPr>
    </w:p>
    <w:p w:rsidR="007C1EE2" w:rsidRDefault="00802E93" w:rsidP="007C1EE2">
      <w:pPr>
        <w:tabs>
          <w:tab w:val="left" w:pos="7655"/>
        </w:tabs>
        <w:jc w:val="center"/>
        <w:rPr>
          <w:b/>
          <w:smallCaps/>
          <w:color w:val="FF0000"/>
          <w:sz w:val="36"/>
          <w:u w:val="single"/>
        </w:rPr>
      </w:pPr>
      <w:r>
        <w:rPr>
          <w:b/>
          <w:smallCaps/>
          <w:color w:val="FF0000"/>
          <w:sz w:val="36"/>
          <w:u w:val="single"/>
        </w:rPr>
        <w:t xml:space="preserve">Teneurs en matière </w:t>
      </w:r>
      <w:proofErr w:type="spellStart"/>
      <w:r>
        <w:rPr>
          <w:b/>
          <w:smallCaps/>
          <w:color w:val="FF0000"/>
          <w:sz w:val="36"/>
          <w:u w:val="single"/>
        </w:rPr>
        <w:t>seche</w:t>
      </w:r>
      <w:proofErr w:type="spellEnd"/>
      <w:r>
        <w:rPr>
          <w:b/>
          <w:smallCaps/>
          <w:color w:val="FF0000"/>
          <w:sz w:val="36"/>
          <w:u w:val="single"/>
        </w:rPr>
        <w:t>, eau et cendres dans le lait</w:t>
      </w:r>
    </w:p>
    <w:p w:rsidR="004E2133" w:rsidRDefault="00116EB3" w:rsidP="004E2133">
      <w:pPr>
        <w:tabs>
          <w:tab w:val="left" w:pos="7655"/>
        </w:tabs>
        <w:jc w:val="center"/>
        <w:rPr>
          <w:b/>
          <w:color w:val="00B050"/>
          <w:sz w:val="32"/>
          <w:u w:val="single"/>
        </w:rPr>
      </w:pPr>
      <w:r w:rsidRPr="004E6B58">
        <w:rPr>
          <w:b/>
          <w:color w:val="00B050"/>
          <w:sz w:val="32"/>
          <w:u w:val="single"/>
        </w:rPr>
        <w:t>Principe de la méthode</w:t>
      </w:r>
    </w:p>
    <w:p w:rsidR="00802E93" w:rsidRDefault="004E2133" w:rsidP="007746D7">
      <w:pPr>
        <w:tabs>
          <w:tab w:val="left" w:pos="0"/>
        </w:tabs>
        <w:rPr>
          <w:color w:val="000000" w:themeColor="text1"/>
          <w:sz w:val="24"/>
          <w:szCs w:val="24"/>
        </w:rPr>
      </w:pPr>
      <w:r>
        <w:rPr>
          <w:color w:val="00B050"/>
          <w:sz w:val="24"/>
          <w:szCs w:val="24"/>
        </w:rPr>
        <w:tab/>
      </w:r>
      <w:r w:rsidR="00802E93">
        <w:rPr>
          <w:color w:val="000000" w:themeColor="text1"/>
          <w:sz w:val="24"/>
          <w:szCs w:val="24"/>
        </w:rPr>
        <w:t xml:space="preserve">Certains agriculteurs rajoutent du </w:t>
      </w:r>
      <w:proofErr w:type="spellStart"/>
      <w:r w:rsidR="00802E93">
        <w:rPr>
          <w:color w:val="000000" w:themeColor="text1"/>
          <w:sz w:val="24"/>
          <w:szCs w:val="24"/>
        </w:rPr>
        <w:t>NaCl</w:t>
      </w:r>
      <w:proofErr w:type="spellEnd"/>
      <w:r w:rsidR="00802E93">
        <w:rPr>
          <w:color w:val="000000" w:themeColor="text1"/>
          <w:sz w:val="24"/>
          <w:szCs w:val="24"/>
        </w:rPr>
        <w:t xml:space="preserve"> pour augmenter la matière sèche de leur lait, or, si la teneur en sel est supérieure à 1%, c'est que l'agriculteur a rajouté du sel ce qui constitue une fraude (tout comme l'ajout d'eau dans le lait afin d'augmenter le volume).</w:t>
      </w:r>
      <w:r w:rsidR="00802E93">
        <w:rPr>
          <w:color w:val="000000" w:themeColor="text1"/>
          <w:sz w:val="24"/>
          <w:szCs w:val="24"/>
        </w:rPr>
        <w:br/>
      </w:r>
      <w:r w:rsidR="00802E93">
        <w:rPr>
          <w:color w:val="000000" w:themeColor="text1"/>
          <w:sz w:val="24"/>
          <w:szCs w:val="24"/>
        </w:rPr>
        <w:br/>
        <w:t>Nous allons donc déterminer 3 valeurs d'études afin de savoir si c'est le cas ou non pour notre échantillon de lait, à savoir :</w:t>
      </w:r>
      <w:r w:rsidR="00802E93" w:rsidRPr="00802E93">
        <w:rPr>
          <w:color w:val="000000" w:themeColor="text1"/>
          <w:sz w:val="24"/>
          <w:szCs w:val="24"/>
        </w:rPr>
        <w:t xml:space="preserve"> </w:t>
      </w:r>
      <w:r w:rsidR="00802E93">
        <w:rPr>
          <w:color w:val="000000" w:themeColor="text1"/>
          <w:sz w:val="24"/>
          <w:szCs w:val="24"/>
        </w:rPr>
        <w:t xml:space="preserve">les teneurs en eau, en matière sèche et en matière minérale du lait étudié (n°5). Pour se faire, nous allons relever le poids à vide d'une capsule </w:t>
      </w:r>
      <w:r w:rsidR="005173CE">
        <w:rPr>
          <w:color w:val="000000" w:themeColor="text1"/>
          <w:sz w:val="24"/>
          <w:szCs w:val="24"/>
        </w:rPr>
        <w:t>(</w:t>
      </w:r>
      <w:r w:rsidR="005173CE" w:rsidRPr="005173CE">
        <w:rPr>
          <w:b/>
          <w:color w:val="000000" w:themeColor="text1"/>
          <w:sz w:val="24"/>
          <w:szCs w:val="24"/>
        </w:rPr>
        <w:t>M1</w:t>
      </w:r>
      <w:r w:rsidR="005173CE">
        <w:rPr>
          <w:color w:val="000000" w:themeColor="text1"/>
          <w:sz w:val="24"/>
          <w:szCs w:val="24"/>
        </w:rPr>
        <w:t>)</w:t>
      </w:r>
      <w:r w:rsidR="0043083D">
        <w:rPr>
          <w:color w:val="000000" w:themeColor="text1"/>
          <w:sz w:val="24"/>
          <w:szCs w:val="24"/>
        </w:rPr>
        <w:t xml:space="preserve"> </w:t>
      </w:r>
      <w:r w:rsidR="00802E93">
        <w:rPr>
          <w:color w:val="000000" w:themeColor="text1"/>
          <w:sz w:val="24"/>
          <w:szCs w:val="24"/>
        </w:rPr>
        <w:t xml:space="preserve">où nous introduirons, </w:t>
      </w:r>
      <w:r w:rsidR="0043083D">
        <w:rPr>
          <w:color w:val="000000" w:themeColor="text1"/>
          <w:sz w:val="24"/>
          <w:szCs w:val="24"/>
        </w:rPr>
        <w:t>à l'aide d'une pipette jetable,</w:t>
      </w:r>
      <w:r w:rsidR="00802E93">
        <w:rPr>
          <w:color w:val="000000" w:themeColor="text1"/>
          <w:sz w:val="24"/>
          <w:szCs w:val="24"/>
        </w:rPr>
        <w:t xml:space="preserve"> environ précisément 5g </w:t>
      </w:r>
      <w:r w:rsidR="005173CE">
        <w:rPr>
          <w:color w:val="000000" w:themeColor="text1"/>
          <w:sz w:val="24"/>
          <w:szCs w:val="24"/>
        </w:rPr>
        <w:t>(</w:t>
      </w:r>
      <w:r w:rsidR="005173CE" w:rsidRPr="005173CE">
        <w:rPr>
          <w:b/>
          <w:color w:val="000000" w:themeColor="text1"/>
          <w:sz w:val="24"/>
          <w:szCs w:val="24"/>
        </w:rPr>
        <w:t>M2</w:t>
      </w:r>
      <w:r w:rsidR="005173CE">
        <w:rPr>
          <w:color w:val="000000" w:themeColor="text1"/>
          <w:sz w:val="24"/>
          <w:szCs w:val="24"/>
        </w:rPr>
        <w:t>)</w:t>
      </w:r>
      <w:r w:rsidR="008C2D1E">
        <w:rPr>
          <w:color w:val="000000" w:themeColor="text1"/>
          <w:sz w:val="24"/>
          <w:szCs w:val="24"/>
        </w:rPr>
        <w:t xml:space="preserve"> </w:t>
      </w:r>
      <w:r w:rsidR="00802E93">
        <w:rPr>
          <w:color w:val="000000" w:themeColor="text1"/>
          <w:sz w:val="24"/>
          <w:szCs w:val="24"/>
        </w:rPr>
        <w:t>du lait n°5.</w:t>
      </w:r>
    </w:p>
    <w:p w:rsidR="005173CE" w:rsidRDefault="005173CE" w:rsidP="007746D7">
      <w:pPr>
        <w:tabs>
          <w:tab w:val="left" w:pos="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Nous débutons par la mise en place des capsules dans un bain de sable (sous hotte) jusqu'à</w:t>
      </w:r>
      <w:r w:rsidR="0043083D">
        <w:rPr>
          <w:color w:val="000000" w:themeColor="text1"/>
          <w:sz w:val="24"/>
          <w:szCs w:val="24"/>
        </w:rPr>
        <w:t xml:space="preserve"> apparition d'une peau (afin d'éviter les projections </w:t>
      </w:r>
      <w:r>
        <w:rPr>
          <w:color w:val="000000" w:themeColor="text1"/>
          <w:sz w:val="24"/>
          <w:szCs w:val="24"/>
        </w:rPr>
        <w:t xml:space="preserve">pour le reste de l'expérience).  On l'a placera ensuite </w:t>
      </w:r>
      <w:proofErr w:type="gramStart"/>
      <w:r>
        <w:rPr>
          <w:color w:val="000000" w:themeColor="text1"/>
          <w:sz w:val="24"/>
          <w:szCs w:val="24"/>
        </w:rPr>
        <w:t>au</w:t>
      </w:r>
      <w:proofErr w:type="gramEnd"/>
      <w:r>
        <w:rPr>
          <w:color w:val="000000" w:themeColor="text1"/>
          <w:sz w:val="24"/>
          <w:szCs w:val="24"/>
        </w:rPr>
        <w:t xml:space="preserve"> micro-onde à basse puissance, que l'ont augmentera au fur et à mesure, ainsi que sa durée, afin d'évaporer totalement le lait. On procèdera</w:t>
      </w:r>
      <w:r w:rsidRPr="005173CE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par la suite, après refroidissement au dessiccateur, à une pesée de la masse totale de la capsule (</w:t>
      </w:r>
      <w:r w:rsidRPr="005173CE">
        <w:rPr>
          <w:b/>
          <w:color w:val="000000" w:themeColor="text1"/>
          <w:sz w:val="24"/>
          <w:szCs w:val="24"/>
        </w:rPr>
        <w:t>M3</w:t>
      </w:r>
      <w:r>
        <w:rPr>
          <w:color w:val="000000" w:themeColor="text1"/>
          <w:sz w:val="24"/>
          <w:szCs w:val="24"/>
        </w:rPr>
        <w:t>). Ces 3 données nous permettent ainsi de calculer la teneur en matière sèche et l'humidité.</w:t>
      </w:r>
    </w:p>
    <w:p w:rsidR="005173CE" w:rsidRPr="005173CE" w:rsidRDefault="005173CE" w:rsidP="005173CE">
      <w:pPr>
        <w:spacing w:line="252" w:lineRule="auto"/>
        <w:jc w:val="both"/>
        <w:rPr>
          <w:sz w:val="24"/>
        </w:rPr>
      </w:pPr>
      <w:r w:rsidRPr="005173CE">
        <w:rPr>
          <w:sz w:val="24"/>
        </w:rPr>
        <w:t>Pour</w:t>
      </w:r>
      <w:r>
        <w:rPr>
          <w:sz w:val="24"/>
        </w:rPr>
        <w:t xml:space="preserve"> la suite, il faut mettre la capsule au four (550°C) pour procéder à une minéralisation du contenu sec. (La masse (</w:t>
      </w:r>
      <w:r w:rsidRPr="005173CE">
        <w:rPr>
          <w:b/>
          <w:sz w:val="24"/>
        </w:rPr>
        <w:t>M4</w:t>
      </w:r>
      <w:r>
        <w:rPr>
          <w:sz w:val="24"/>
        </w:rPr>
        <w:t>)</w:t>
      </w:r>
      <w:r w:rsidR="00D02682">
        <w:rPr>
          <w:sz w:val="24"/>
        </w:rPr>
        <w:t xml:space="preserve"> </w:t>
      </w:r>
      <w:r>
        <w:rPr>
          <w:sz w:val="24"/>
        </w:rPr>
        <w:t xml:space="preserve">sera à venir relever le lendemain). Avec cette valeur et celles précédentes, </w:t>
      </w:r>
      <w:r w:rsidR="003E1076">
        <w:rPr>
          <w:sz w:val="24"/>
        </w:rPr>
        <w:t>on pourra déterminer la teneur en cendre de notre lait.</w:t>
      </w:r>
    </w:p>
    <w:p w:rsidR="00802E93" w:rsidRPr="00B14FF4" w:rsidRDefault="00802E93" w:rsidP="007746D7">
      <w:pPr>
        <w:tabs>
          <w:tab w:val="left" w:pos="0"/>
        </w:tabs>
        <w:rPr>
          <w:color w:val="000000" w:themeColor="text1"/>
          <w:sz w:val="24"/>
          <w:szCs w:val="24"/>
        </w:rPr>
      </w:pPr>
    </w:p>
    <w:p w:rsidR="00A75057" w:rsidRDefault="00A75057" w:rsidP="00A75057">
      <w:pPr>
        <w:tabs>
          <w:tab w:val="left" w:pos="7655"/>
        </w:tabs>
        <w:jc w:val="center"/>
        <w:rPr>
          <w:b/>
          <w:color w:val="00B050"/>
          <w:sz w:val="32"/>
          <w:u w:val="single"/>
        </w:rPr>
      </w:pPr>
      <w:r>
        <w:rPr>
          <w:b/>
          <w:color w:val="00B050"/>
          <w:sz w:val="32"/>
          <w:u w:val="single"/>
        </w:rPr>
        <w:t>Discussion du résultat</w:t>
      </w:r>
    </w:p>
    <w:p w:rsidR="00B14FF4" w:rsidRDefault="0043083D" w:rsidP="008C7B38">
      <w:pPr>
        <w:tabs>
          <w:tab w:val="left" w:pos="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57151C">
        <w:rPr>
          <w:color w:val="000000" w:themeColor="text1"/>
          <w:sz w:val="24"/>
          <w:szCs w:val="24"/>
        </w:rPr>
        <w:t xml:space="preserve">Les résultats obtenus pour notre lait et pour les 3 autres laits étudiés sont classés dans le tableau suivant : </w:t>
      </w:r>
    </w:p>
    <w:tbl>
      <w:tblPr>
        <w:tblStyle w:val="Grilledutableau"/>
        <w:tblW w:w="0" w:type="auto"/>
        <w:tblLook w:val="04A0"/>
      </w:tblPr>
      <w:tblGrid>
        <w:gridCol w:w="1669"/>
        <w:gridCol w:w="1544"/>
        <w:gridCol w:w="1544"/>
        <w:gridCol w:w="1441"/>
        <w:gridCol w:w="1545"/>
      </w:tblGrid>
      <w:tr w:rsidR="00210D6E" w:rsidRPr="009C57D6" w:rsidTr="00210D6E">
        <w:tc>
          <w:tcPr>
            <w:tcW w:w="1669" w:type="dxa"/>
          </w:tcPr>
          <w:p w:rsidR="00210D6E" w:rsidRPr="009C57D6" w:rsidRDefault="00210D6E" w:rsidP="008C7B38">
            <w:pPr>
              <w:tabs>
                <w:tab w:val="left" w:pos="0"/>
              </w:tabs>
              <w:rPr>
                <w:b/>
                <w:color w:val="000000" w:themeColor="text1"/>
                <w:sz w:val="24"/>
                <w:szCs w:val="24"/>
              </w:rPr>
            </w:pPr>
            <w:r w:rsidRPr="009C57D6">
              <w:rPr>
                <w:b/>
                <w:color w:val="000000" w:themeColor="text1"/>
                <w:sz w:val="24"/>
                <w:szCs w:val="24"/>
              </w:rPr>
              <w:t>Lait</w:t>
            </w:r>
          </w:p>
        </w:tc>
        <w:tc>
          <w:tcPr>
            <w:tcW w:w="1544" w:type="dxa"/>
            <w:vAlign w:val="center"/>
          </w:tcPr>
          <w:p w:rsidR="00210D6E" w:rsidRPr="009C57D6" w:rsidRDefault="00210D6E" w:rsidP="009C57D6">
            <w:pPr>
              <w:tabs>
                <w:tab w:val="left" w:pos="0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C57D6"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44" w:type="dxa"/>
            <w:vAlign w:val="center"/>
          </w:tcPr>
          <w:p w:rsidR="00210D6E" w:rsidRPr="009C57D6" w:rsidRDefault="006B4239" w:rsidP="009C57D6">
            <w:pPr>
              <w:tabs>
                <w:tab w:val="left" w:pos="0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41" w:type="dxa"/>
            <w:shd w:val="clear" w:color="auto" w:fill="auto"/>
          </w:tcPr>
          <w:p w:rsidR="00210D6E" w:rsidRPr="009C57D6" w:rsidRDefault="006B4239" w:rsidP="009C57D6">
            <w:pPr>
              <w:tabs>
                <w:tab w:val="left" w:pos="0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45" w:type="dxa"/>
            <w:shd w:val="clear" w:color="auto" w:fill="8DB3E2" w:themeFill="text2" w:themeFillTint="66"/>
            <w:vAlign w:val="center"/>
          </w:tcPr>
          <w:p w:rsidR="00210D6E" w:rsidRPr="009C57D6" w:rsidRDefault="00210D6E" w:rsidP="009C57D6">
            <w:pPr>
              <w:tabs>
                <w:tab w:val="left" w:pos="0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C57D6">
              <w:rPr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210D6E" w:rsidTr="00210D6E">
        <w:tc>
          <w:tcPr>
            <w:tcW w:w="1669" w:type="dxa"/>
          </w:tcPr>
          <w:p w:rsidR="00210D6E" w:rsidRPr="009C57D6" w:rsidRDefault="00210D6E" w:rsidP="008C7B38">
            <w:pPr>
              <w:tabs>
                <w:tab w:val="left" w:pos="0"/>
              </w:tabs>
              <w:rPr>
                <w:b/>
                <w:color w:val="000000" w:themeColor="text1"/>
                <w:sz w:val="24"/>
                <w:szCs w:val="24"/>
              </w:rPr>
            </w:pPr>
            <w:r w:rsidRPr="009C57D6">
              <w:rPr>
                <w:b/>
                <w:color w:val="000000" w:themeColor="text1"/>
                <w:sz w:val="24"/>
                <w:szCs w:val="24"/>
              </w:rPr>
              <w:t>Matière sèche (%)</w:t>
            </w:r>
          </w:p>
        </w:tc>
        <w:tc>
          <w:tcPr>
            <w:tcW w:w="1544" w:type="dxa"/>
            <w:vAlign w:val="center"/>
          </w:tcPr>
          <w:p w:rsidR="00210D6E" w:rsidRDefault="00210D6E" w:rsidP="009C57D6">
            <w:pPr>
              <w:tabs>
                <w:tab w:val="left" w:pos="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10,2</w:t>
            </w:r>
          </w:p>
        </w:tc>
        <w:tc>
          <w:tcPr>
            <w:tcW w:w="1544" w:type="dxa"/>
            <w:vAlign w:val="center"/>
          </w:tcPr>
          <w:p w:rsidR="00210D6E" w:rsidRDefault="00210D6E" w:rsidP="009C57D6">
            <w:pPr>
              <w:tabs>
                <w:tab w:val="left" w:pos="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  <w:r w:rsidR="006B4239">
              <w:rPr>
                <w:color w:val="000000" w:themeColor="text1"/>
                <w:sz w:val="24"/>
                <w:szCs w:val="24"/>
              </w:rPr>
              <w:t>2,9</w:t>
            </w:r>
          </w:p>
        </w:tc>
        <w:tc>
          <w:tcPr>
            <w:tcW w:w="1441" w:type="dxa"/>
            <w:shd w:val="clear" w:color="auto" w:fill="auto"/>
          </w:tcPr>
          <w:p w:rsidR="00210D6E" w:rsidRDefault="00210D6E" w:rsidP="009C57D6">
            <w:pPr>
              <w:tabs>
                <w:tab w:val="left" w:pos="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14,</w:t>
            </w:r>
            <w:r w:rsidR="006B4239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45" w:type="dxa"/>
            <w:shd w:val="clear" w:color="auto" w:fill="8DB3E2" w:themeFill="text2" w:themeFillTint="66"/>
            <w:vAlign w:val="center"/>
          </w:tcPr>
          <w:p w:rsidR="00210D6E" w:rsidRDefault="00210D6E" w:rsidP="009C57D6">
            <w:pPr>
              <w:tabs>
                <w:tab w:val="left" w:pos="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16,8</w:t>
            </w:r>
          </w:p>
        </w:tc>
      </w:tr>
      <w:tr w:rsidR="00210D6E" w:rsidTr="009A7BC9">
        <w:trPr>
          <w:trHeight w:val="388"/>
        </w:trPr>
        <w:tc>
          <w:tcPr>
            <w:tcW w:w="1669" w:type="dxa"/>
          </w:tcPr>
          <w:p w:rsidR="00210D6E" w:rsidRPr="009C57D6" w:rsidRDefault="00210D6E" w:rsidP="008C7B38">
            <w:pPr>
              <w:tabs>
                <w:tab w:val="left" w:pos="0"/>
              </w:tabs>
              <w:rPr>
                <w:b/>
                <w:color w:val="000000" w:themeColor="text1"/>
                <w:sz w:val="24"/>
                <w:szCs w:val="24"/>
              </w:rPr>
            </w:pPr>
            <w:r w:rsidRPr="009C57D6">
              <w:rPr>
                <w:b/>
                <w:color w:val="000000" w:themeColor="text1"/>
                <w:sz w:val="24"/>
                <w:szCs w:val="24"/>
              </w:rPr>
              <w:t>Humidité (%)</w:t>
            </w:r>
          </w:p>
        </w:tc>
        <w:tc>
          <w:tcPr>
            <w:tcW w:w="1544" w:type="dxa"/>
            <w:vAlign w:val="center"/>
          </w:tcPr>
          <w:p w:rsidR="00210D6E" w:rsidRDefault="00210D6E" w:rsidP="009C57D6">
            <w:pPr>
              <w:tabs>
                <w:tab w:val="left" w:pos="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89,8</w:t>
            </w:r>
          </w:p>
        </w:tc>
        <w:tc>
          <w:tcPr>
            <w:tcW w:w="1544" w:type="dxa"/>
            <w:vAlign w:val="center"/>
          </w:tcPr>
          <w:p w:rsidR="00210D6E" w:rsidRDefault="006B4239" w:rsidP="009C57D6">
            <w:pPr>
              <w:tabs>
                <w:tab w:val="left" w:pos="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87,1</w:t>
            </w:r>
          </w:p>
        </w:tc>
        <w:tc>
          <w:tcPr>
            <w:tcW w:w="1441" w:type="dxa"/>
            <w:shd w:val="clear" w:color="auto" w:fill="auto"/>
          </w:tcPr>
          <w:p w:rsidR="00210D6E" w:rsidRDefault="00210D6E" w:rsidP="006B4239">
            <w:pPr>
              <w:tabs>
                <w:tab w:val="left" w:pos="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85</w:t>
            </w:r>
            <w:r w:rsidR="006B4239">
              <w:rPr>
                <w:color w:val="000000" w:themeColor="text1"/>
                <w:sz w:val="24"/>
                <w:szCs w:val="24"/>
              </w:rPr>
              <w:t>,8</w:t>
            </w:r>
          </w:p>
        </w:tc>
        <w:tc>
          <w:tcPr>
            <w:tcW w:w="1545" w:type="dxa"/>
            <w:shd w:val="clear" w:color="auto" w:fill="8DB3E2" w:themeFill="text2" w:themeFillTint="66"/>
            <w:vAlign w:val="center"/>
          </w:tcPr>
          <w:p w:rsidR="00210D6E" w:rsidRDefault="00210D6E" w:rsidP="009C57D6">
            <w:pPr>
              <w:tabs>
                <w:tab w:val="left" w:pos="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83,2</w:t>
            </w:r>
          </w:p>
        </w:tc>
      </w:tr>
      <w:tr w:rsidR="009A7BC9" w:rsidTr="009A7BC9">
        <w:trPr>
          <w:trHeight w:val="388"/>
        </w:trPr>
        <w:tc>
          <w:tcPr>
            <w:tcW w:w="1669" w:type="dxa"/>
          </w:tcPr>
          <w:p w:rsidR="009A7BC9" w:rsidRPr="009C57D6" w:rsidRDefault="009A7BC9" w:rsidP="008C7B38">
            <w:pPr>
              <w:tabs>
                <w:tab w:val="left" w:pos="0"/>
              </w:tabs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Cendres (%)</w:t>
            </w:r>
          </w:p>
        </w:tc>
        <w:tc>
          <w:tcPr>
            <w:tcW w:w="1544" w:type="dxa"/>
            <w:vAlign w:val="center"/>
          </w:tcPr>
          <w:p w:rsidR="009A7BC9" w:rsidRDefault="009A7BC9" w:rsidP="009C57D6">
            <w:pPr>
              <w:tabs>
                <w:tab w:val="left" w:pos="0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44" w:type="dxa"/>
            <w:vAlign w:val="center"/>
          </w:tcPr>
          <w:p w:rsidR="009A7BC9" w:rsidRDefault="009A7BC9" w:rsidP="009C57D6">
            <w:pPr>
              <w:tabs>
                <w:tab w:val="left" w:pos="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0,71</w:t>
            </w:r>
          </w:p>
        </w:tc>
        <w:tc>
          <w:tcPr>
            <w:tcW w:w="1441" w:type="dxa"/>
            <w:shd w:val="clear" w:color="auto" w:fill="auto"/>
          </w:tcPr>
          <w:p w:rsidR="009A7BC9" w:rsidRDefault="009A7BC9" w:rsidP="006B4239">
            <w:pPr>
              <w:tabs>
                <w:tab w:val="left" w:pos="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0,7</w:t>
            </w:r>
          </w:p>
        </w:tc>
        <w:tc>
          <w:tcPr>
            <w:tcW w:w="1545" w:type="dxa"/>
            <w:shd w:val="clear" w:color="auto" w:fill="8DB3E2" w:themeFill="text2" w:themeFillTint="66"/>
            <w:vAlign w:val="center"/>
          </w:tcPr>
          <w:p w:rsidR="009A7BC9" w:rsidRDefault="009A7BC9" w:rsidP="009C57D6">
            <w:pPr>
              <w:tabs>
                <w:tab w:val="left" w:pos="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0,94</w:t>
            </w:r>
          </w:p>
        </w:tc>
      </w:tr>
    </w:tbl>
    <w:p w:rsidR="009C57D6" w:rsidRDefault="009C57D6" w:rsidP="008C7B38">
      <w:pPr>
        <w:tabs>
          <w:tab w:val="left" w:pos="0"/>
        </w:tabs>
        <w:rPr>
          <w:color w:val="000000" w:themeColor="text1"/>
          <w:sz w:val="24"/>
          <w:szCs w:val="24"/>
        </w:rPr>
      </w:pPr>
    </w:p>
    <w:p w:rsidR="009C57D6" w:rsidRDefault="009C57D6" w:rsidP="008C7B38">
      <w:pPr>
        <w:tabs>
          <w:tab w:val="left" w:pos="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Notre lait correspond ainsi au lait cru</w:t>
      </w:r>
      <w:r w:rsidR="005874F3">
        <w:rPr>
          <w:color w:val="000000" w:themeColor="text1"/>
          <w:sz w:val="24"/>
          <w:szCs w:val="24"/>
        </w:rPr>
        <w:t xml:space="preserve"> puisque c'est celui contenant un taux</w:t>
      </w:r>
      <w:r w:rsidR="00BF7CFB">
        <w:rPr>
          <w:color w:val="000000" w:themeColor="text1"/>
          <w:sz w:val="24"/>
          <w:szCs w:val="24"/>
        </w:rPr>
        <w:t xml:space="preserve"> de matière sèche le plus élevé (et il est supérieur à 16%).</w:t>
      </w:r>
      <w:r w:rsidR="00210D6E">
        <w:rPr>
          <w:color w:val="000000" w:themeColor="text1"/>
          <w:sz w:val="24"/>
          <w:szCs w:val="24"/>
        </w:rPr>
        <w:t xml:space="preserve"> Il faut savoir qu'un lait écrémé possède une teneur en matière sèche d'environ  10%, un lait demi écrémé environ 12%, un lait entier entre 14 et 16% et un lait cru une teneur de matière sèche supérieure à 17% (il s'agit donc à peu près de notre cas, qui est de 16,8%)).</w:t>
      </w:r>
      <w:r w:rsidR="009A7BC9">
        <w:rPr>
          <w:color w:val="000000" w:themeColor="text1"/>
          <w:sz w:val="24"/>
          <w:szCs w:val="24"/>
        </w:rPr>
        <w:t xml:space="preserve"> Concernant la matière minérale, notre teneur est la plus haute de 3 groupes avec qui nous avons manipulé du fait que c'est un lait cru, son pourcentage reste néanmoins inféri</w:t>
      </w:r>
      <w:r w:rsidR="00AE1896">
        <w:rPr>
          <w:color w:val="000000" w:themeColor="text1"/>
          <w:sz w:val="24"/>
          <w:szCs w:val="24"/>
        </w:rPr>
        <w:t>eur à 1% ce qui montre qu'il n'</w:t>
      </w:r>
      <w:r w:rsidR="009A7BC9">
        <w:rPr>
          <w:color w:val="000000" w:themeColor="text1"/>
          <w:sz w:val="24"/>
          <w:szCs w:val="24"/>
        </w:rPr>
        <w:t>y a pas de triche de l'exploitant.</w:t>
      </w:r>
      <w:r w:rsidR="00AE1896">
        <w:rPr>
          <w:color w:val="000000" w:themeColor="text1"/>
          <w:sz w:val="24"/>
          <w:szCs w:val="24"/>
        </w:rPr>
        <w:t xml:space="preserve"> </w:t>
      </w:r>
    </w:p>
    <w:p w:rsidR="00BF7CFB" w:rsidRDefault="00BF7CFB" w:rsidP="00BF7CFB">
      <w:pPr>
        <w:tabs>
          <w:tab w:val="left" w:pos="7655"/>
        </w:tabs>
        <w:jc w:val="center"/>
        <w:rPr>
          <w:b/>
          <w:color w:val="00B050"/>
          <w:sz w:val="32"/>
          <w:u w:val="single"/>
        </w:rPr>
      </w:pPr>
      <w:r>
        <w:rPr>
          <w:b/>
          <w:color w:val="00B050"/>
          <w:sz w:val="32"/>
          <w:u w:val="single"/>
        </w:rPr>
        <w:t>Rôle de l'élément dosé</w:t>
      </w:r>
    </w:p>
    <w:p w:rsidR="00BF7CFB" w:rsidRPr="00BF7CFB" w:rsidRDefault="00BF7CFB" w:rsidP="00BF7CFB">
      <w:pPr>
        <w:tabs>
          <w:tab w:val="left" w:pos="0"/>
        </w:tabs>
        <w:rPr>
          <w:sz w:val="24"/>
        </w:rPr>
      </w:pPr>
      <w:r>
        <w:rPr>
          <w:sz w:val="24"/>
        </w:rPr>
        <w:tab/>
      </w:r>
    </w:p>
    <w:p w:rsidR="00BF7CFB" w:rsidRDefault="00D94F45" w:rsidP="008C7B38">
      <w:pPr>
        <w:tabs>
          <w:tab w:val="left" w:pos="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8C2D1E">
        <w:rPr>
          <w:color w:val="000000" w:themeColor="text1"/>
          <w:sz w:val="24"/>
          <w:szCs w:val="24"/>
        </w:rPr>
        <w:t>Le lait est composé majoritairement d'ea</w:t>
      </w:r>
      <w:r>
        <w:rPr>
          <w:color w:val="000000" w:themeColor="text1"/>
          <w:sz w:val="24"/>
          <w:szCs w:val="24"/>
        </w:rPr>
        <w:t>u (humidité), en moyenne 87%. Cette eau permet l'hydratation et est vitale pour l'organisme.</w:t>
      </w:r>
      <w:r>
        <w:rPr>
          <w:color w:val="000000" w:themeColor="text1"/>
          <w:sz w:val="24"/>
          <w:szCs w:val="24"/>
        </w:rPr>
        <w:br/>
        <w:t>Le reste de sa composition constitue alors la matière sèche,  cette matière sèche est constituée de matière organique (éliminée lors du chauffage à 550°C) et de matière minérale (les cendres restantes).</w:t>
      </w:r>
      <w:r w:rsidR="00D870E0">
        <w:rPr>
          <w:color w:val="000000" w:themeColor="text1"/>
          <w:sz w:val="24"/>
          <w:szCs w:val="24"/>
        </w:rPr>
        <w:t xml:space="preserve"> La matière minérale est composée de phosphore, calcium, magnésium et des métaux (Fer…) possède des éléments minéraux  importants pour notre santé.</w:t>
      </w:r>
    </w:p>
    <w:p w:rsidR="00D870E0" w:rsidRDefault="00D870E0" w:rsidP="008C7B38">
      <w:pPr>
        <w:tabs>
          <w:tab w:val="left" w:pos="0"/>
        </w:tabs>
        <w:rPr>
          <w:color w:val="000000" w:themeColor="text1"/>
          <w:sz w:val="24"/>
          <w:szCs w:val="24"/>
        </w:rPr>
      </w:pPr>
    </w:p>
    <w:p w:rsidR="00D870E0" w:rsidRDefault="00D870E0" w:rsidP="008C7B38">
      <w:pPr>
        <w:tabs>
          <w:tab w:val="left" w:pos="0"/>
        </w:tabs>
        <w:rPr>
          <w:color w:val="000000" w:themeColor="text1"/>
          <w:sz w:val="24"/>
          <w:szCs w:val="24"/>
        </w:rPr>
      </w:pPr>
    </w:p>
    <w:p w:rsidR="00E81DF0" w:rsidRPr="009A7BC9" w:rsidRDefault="00D870E0" w:rsidP="008C7B38">
      <w:pPr>
        <w:tabs>
          <w:tab w:val="left" w:pos="0"/>
        </w:tabs>
        <w:rPr>
          <w:color w:val="1F497D" w:themeColor="text2"/>
          <w:sz w:val="24"/>
          <w:szCs w:val="24"/>
        </w:rPr>
      </w:pPr>
      <w:r w:rsidRPr="00D870E0">
        <w:rPr>
          <w:b/>
          <w:color w:val="1F497D" w:themeColor="text2"/>
          <w:sz w:val="24"/>
          <w:szCs w:val="24"/>
        </w:rPr>
        <w:t xml:space="preserve">Bibliographie : </w:t>
      </w:r>
      <w:r w:rsidRPr="00D870E0">
        <w:rPr>
          <w:b/>
          <w:color w:val="1F497D" w:themeColor="text2"/>
          <w:sz w:val="24"/>
          <w:szCs w:val="24"/>
        </w:rPr>
        <w:br/>
      </w:r>
      <w:hyperlink r:id="rId5" w:history="1">
        <w:r w:rsidRPr="00D870E0">
          <w:rPr>
            <w:rStyle w:val="Lienhypertexte"/>
            <w:i/>
            <w:color w:val="1F497D" w:themeColor="text2"/>
            <w:u w:val="none"/>
          </w:rPr>
          <w:t>http://www.chambon.ac-versailles.fr/science/bioch/index.htm</w:t>
        </w:r>
      </w:hyperlink>
      <w:r w:rsidRPr="00D870E0">
        <w:rPr>
          <w:i/>
          <w:color w:val="1F497D" w:themeColor="text2"/>
        </w:rPr>
        <w:br/>
      </w:r>
      <w:hyperlink r:id="rId6" w:history="1">
        <w:r w:rsidRPr="00D870E0">
          <w:rPr>
            <w:rStyle w:val="Lienhypertexte"/>
            <w:i/>
            <w:color w:val="1F497D" w:themeColor="text2"/>
            <w:u w:val="none"/>
          </w:rPr>
          <w:t>http://fr.wikipedia.org/wiki/Lait</w:t>
        </w:r>
      </w:hyperlink>
      <w:r w:rsidRPr="00D870E0">
        <w:rPr>
          <w:i/>
          <w:color w:val="1F497D" w:themeColor="text2"/>
        </w:rPr>
        <w:br/>
      </w:r>
      <w:hyperlink r:id="rId7" w:history="1">
        <w:r w:rsidRPr="00D870E0">
          <w:rPr>
            <w:rStyle w:val="Lienhypertexte"/>
            <w:i/>
            <w:color w:val="1F497D" w:themeColor="text2"/>
            <w:u w:val="none"/>
          </w:rPr>
          <w:t>http://www.azaquar.com/doc/composition-physico-chimie-et-microbiologie-du-lait</w:t>
        </w:r>
      </w:hyperlink>
      <w:r w:rsidRPr="00D870E0">
        <w:rPr>
          <w:i/>
          <w:color w:val="1F497D" w:themeColor="text2"/>
        </w:rPr>
        <w:br/>
      </w:r>
    </w:p>
    <w:sectPr w:rsidR="00E81DF0" w:rsidRPr="009A7BC9" w:rsidSect="008C7B38"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F478D"/>
    <w:multiLevelType w:val="hybridMultilevel"/>
    <w:tmpl w:val="37E00750"/>
    <w:lvl w:ilvl="0" w:tplc="0E02E6AE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1EE2"/>
    <w:rsid w:val="00116EB3"/>
    <w:rsid w:val="00210D6E"/>
    <w:rsid w:val="00211FDC"/>
    <w:rsid w:val="00326A25"/>
    <w:rsid w:val="003E1076"/>
    <w:rsid w:val="0043083D"/>
    <w:rsid w:val="004E2133"/>
    <w:rsid w:val="005173CE"/>
    <w:rsid w:val="005406F0"/>
    <w:rsid w:val="0054130E"/>
    <w:rsid w:val="0057151C"/>
    <w:rsid w:val="005874F3"/>
    <w:rsid w:val="00596CAE"/>
    <w:rsid w:val="006B4239"/>
    <w:rsid w:val="007746D7"/>
    <w:rsid w:val="007C1EE2"/>
    <w:rsid w:val="00802E93"/>
    <w:rsid w:val="00850BD1"/>
    <w:rsid w:val="00852425"/>
    <w:rsid w:val="008C2D1E"/>
    <w:rsid w:val="008C7B38"/>
    <w:rsid w:val="009A7BC9"/>
    <w:rsid w:val="009C4C6F"/>
    <w:rsid w:val="009C57D6"/>
    <w:rsid w:val="00A27010"/>
    <w:rsid w:val="00A50DFA"/>
    <w:rsid w:val="00A75057"/>
    <w:rsid w:val="00AE1896"/>
    <w:rsid w:val="00B14FF4"/>
    <w:rsid w:val="00BF7CFB"/>
    <w:rsid w:val="00C34384"/>
    <w:rsid w:val="00CD122B"/>
    <w:rsid w:val="00D02682"/>
    <w:rsid w:val="00D870E0"/>
    <w:rsid w:val="00D94F45"/>
    <w:rsid w:val="00DC36CB"/>
    <w:rsid w:val="00E42F3C"/>
    <w:rsid w:val="00E81DF0"/>
    <w:rsid w:val="00FE6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4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7B38"/>
    <w:pPr>
      <w:ind w:left="720"/>
      <w:contextualSpacing/>
    </w:pPr>
  </w:style>
  <w:style w:type="table" w:styleId="Grilledutableau">
    <w:name w:val="Table Grid"/>
    <w:basedOn w:val="TableauNormal"/>
    <w:uiPriority w:val="59"/>
    <w:rsid w:val="009C57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semiHidden/>
    <w:unhideWhenUsed/>
    <w:rsid w:val="00D870E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zaquar.com/doc/composition-physico-chimie-et-microbiologie-du-la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r.wikipedia.org/wiki/Lait" TargetMode="External"/><Relationship Id="rId5" Type="http://schemas.openxmlformats.org/officeDocument/2006/relationships/hyperlink" Target="http://www.chambon.ac-versailles.fr/science/bioch/index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521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</dc:creator>
  <cp:lastModifiedBy>Matthieu</cp:lastModifiedBy>
  <cp:revision>14</cp:revision>
  <dcterms:created xsi:type="dcterms:W3CDTF">2013-12-28T18:09:00Z</dcterms:created>
  <dcterms:modified xsi:type="dcterms:W3CDTF">2014-01-04T20:57:00Z</dcterms:modified>
</cp:coreProperties>
</file>