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EE2" w:rsidRDefault="007C1EE2" w:rsidP="007C1EE2">
      <w:pPr>
        <w:tabs>
          <w:tab w:val="left" w:pos="7655"/>
        </w:tabs>
        <w:rPr>
          <w:rFonts w:ascii="Comic Sans MS" w:hAnsi="Comic Sans MS"/>
        </w:rPr>
      </w:pPr>
      <w:r w:rsidRPr="007C1EE2">
        <w:rPr>
          <w:rFonts w:ascii="Comic Sans MS" w:hAnsi="Comic Sans MS"/>
        </w:rPr>
        <w:t>FORCIONE Sylvain</w:t>
      </w:r>
      <w:r w:rsidRPr="007C1EE2">
        <w:tab/>
      </w:r>
      <w:r w:rsidRPr="007C1EE2">
        <w:rPr>
          <w:rFonts w:ascii="Comic Sans MS" w:hAnsi="Comic Sans MS"/>
        </w:rPr>
        <w:t>Groupe 1</w:t>
      </w:r>
      <w:r w:rsidRPr="007C1EE2">
        <w:rPr>
          <w:rFonts w:ascii="Comic Sans MS" w:hAnsi="Comic Sans MS"/>
        </w:rPr>
        <w:br/>
        <w:t>SELIG Matthieu</w:t>
      </w:r>
      <w:r w:rsidRPr="007C1EE2">
        <w:rPr>
          <w:rFonts w:ascii="Comic Sans MS" w:hAnsi="Comic Sans MS"/>
        </w:rPr>
        <w:tab/>
        <w:t>Promotion 45</w:t>
      </w:r>
    </w:p>
    <w:p w:rsidR="007C1EE2" w:rsidRDefault="007C1EE2" w:rsidP="007C1EE2">
      <w:pPr>
        <w:tabs>
          <w:tab w:val="left" w:pos="7655"/>
        </w:tabs>
        <w:rPr>
          <w:rFonts w:ascii="Comic Sans MS" w:hAnsi="Comic Sans MS"/>
        </w:rPr>
      </w:pPr>
    </w:p>
    <w:p w:rsidR="007C1EE2" w:rsidRDefault="00AF67F5" w:rsidP="007C1EE2">
      <w:pPr>
        <w:tabs>
          <w:tab w:val="left" w:pos="7655"/>
        </w:tabs>
        <w:jc w:val="center"/>
        <w:rPr>
          <w:b/>
          <w:smallCaps/>
          <w:color w:val="FF0000"/>
          <w:sz w:val="36"/>
          <w:u w:val="single"/>
        </w:rPr>
      </w:pPr>
      <w:r>
        <w:rPr>
          <w:b/>
          <w:smallCaps/>
          <w:color w:val="FF0000"/>
          <w:sz w:val="36"/>
          <w:u w:val="single"/>
        </w:rPr>
        <w:t>Matière grasse du lait</w:t>
      </w:r>
    </w:p>
    <w:p w:rsidR="004E2133" w:rsidRDefault="00116EB3" w:rsidP="004E2133">
      <w:pPr>
        <w:tabs>
          <w:tab w:val="left" w:pos="7655"/>
        </w:tabs>
        <w:jc w:val="center"/>
        <w:rPr>
          <w:b/>
          <w:color w:val="00B050"/>
          <w:sz w:val="32"/>
          <w:u w:val="single"/>
        </w:rPr>
      </w:pPr>
      <w:r w:rsidRPr="004E6B58">
        <w:rPr>
          <w:b/>
          <w:color w:val="00B050"/>
          <w:sz w:val="32"/>
          <w:u w:val="single"/>
        </w:rPr>
        <w:t>Principe de la méthode</w:t>
      </w:r>
    </w:p>
    <w:p w:rsidR="00B14FF4" w:rsidRDefault="004E2133" w:rsidP="008C7B38">
      <w:pPr>
        <w:tabs>
          <w:tab w:val="left" w:pos="0"/>
        </w:tabs>
        <w:rPr>
          <w:color w:val="000000" w:themeColor="text1"/>
          <w:sz w:val="24"/>
          <w:szCs w:val="24"/>
        </w:rPr>
      </w:pPr>
      <w:r>
        <w:rPr>
          <w:color w:val="00B050"/>
          <w:sz w:val="24"/>
          <w:szCs w:val="24"/>
        </w:rPr>
        <w:tab/>
      </w:r>
      <w:r w:rsidR="007746D7">
        <w:rPr>
          <w:color w:val="000000" w:themeColor="text1"/>
          <w:sz w:val="24"/>
          <w:szCs w:val="24"/>
        </w:rPr>
        <w:t>L</w:t>
      </w:r>
      <w:r w:rsidR="00944439">
        <w:rPr>
          <w:color w:val="000000" w:themeColor="text1"/>
          <w:sz w:val="24"/>
          <w:szCs w:val="24"/>
        </w:rPr>
        <w:t xml:space="preserve">e principe de l'expérience est de dissoudre les caséines présentes dans notre lait par l'utilisation d'acide sulfurique qui permettra ainsi de conserver la matière grasse. Puis en utilisant de l'alcool </w:t>
      </w:r>
      <w:proofErr w:type="spellStart"/>
      <w:r w:rsidR="00944439">
        <w:rPr>
          <w:color w:val="000000" w:themeColor="text1"/>
          <w:sz w:val="24"/>
          <w:szCs w:val="24"/>
        </w:rPr>
        <w:t>isoamylique</w:t>
      </w:r>
      <w:proofErr w:type="spellEnd"/>
      <w:r w:rsidR="00944439">
        <w:rPr>
          <w:color w:val="000000" w:themeColor="text1"/>
          <w:sz w:val="24"/>
          <w:szCs w:val="24"/>
        </w:rPr>
        <w:t xml:space="preserve"> on pourra séparer la phase aqueuse de la matière grasse par centrifugation, cette dernière se trouvant au sommet du butyromètre à cause de sa densité moins élevée.</w:t>
      </w:r>
    </w:p>
    <w:p w:rsidR="00944439" w:rsidRDefault="00944439" w:rsidP="008C7B38">
      <w:pPr>
        <w:tabs>
          <w:tab w:val="left" w:pos="0"/>
        </w:tabs>
        <w:rPr>
          <w:color w:val="000000" w:themeColor="text1"/>
          <w:sz w:val="24"/>
          <w:szCs w:val="24"/>
        </w:rPr>
      </w:pPr>
      <w:r>
        <w:rPr>
          <w:color w:val="000000" w:themeColor="text1"/>
          <w:sz w:val="24"/>
          <w:szCs w:val="24"/>
        </w:rPr>
        <w:t xml:space="preserve">• Introduire dans un butyromètre </w:t>
      </w:r>
      <w:r w:rsidR="00C73B7C">
        <w:rPr>
          <w:color w:val="000000" w:themeColor="text1"/>
          <w:sz w:val="24"/>
          <w:szCs w:val="24"/>
        </w:rPr>
        <w:t>de l'acide</w:t>
      </w:r>
      <w:r>
        <w:rPr>
          <w:color w:val="000000" w:themeColor="text1"/>
          <w:sz w:val="24"/>
          <w:szCs w:val="24"/>
        </w:rPr>
        <w:t xml:space="preserve"> sulfurique H</w:t>
      </w:r>
      <w:r w:rsidRPr="00944439">
        <w:rPr>
          <w:color w:val="000000" w:themeColor="text1"/>
          <w:sz w:val="24"/>
          <w:szCs w:val="24"/>
          <w:vertAlign w:val="subscript"/>
        </w:rPr>
        <w:t>2</w:t>
      </w:r>
      <w:r>
        <w:rPr>
          <w:color w:val="000000" w:themeColor="text1"/>
          <w:sz w:val="24"/>
          <w:szCs w:val="24"/>
        </w:rPr>
        <w:t>SO</w:t>
      </w:r>
      <w:r w:rsidRPr="00944439">
        <w:rPr>
          <w:color w:val="000000" w:themeColor="text1"/>
          <w:sz w:val="24"/>
          <w:szCs w:val="24"/>
          <w:vertAlign w:val="subscript"/>
        </w:rPr>
        <w:t>4</w:t>
      </w:r>
      <w:r>
        <w:rPr>
          <w:color w:val="000000" w:themeColor="text1"/>
          <w:sz w:val="24"/>
          <w:szCs w:val="24"/>
        </w:rPr>
        <w:t xml:space="preserve"> sans mouiller le col, puis après avoir préalablement agité le lait, verser lentement et de la même manière que précédemment </w:t>
      </w:r>
      <w:r w:rsidR="00C73B7C">
        <w:rPr>
          <w:color w:val="000000" w:themeColor="text1"/>
          <w:sz w:val="24"/>
          <w:szCs w:val="24"/>
        </w:rPr>
        <w:t>le</w:t>
      </w:r>
      <w:r>
        <w:rPr>
          <w:color w:val="000000" w:themeColor="text1"/>
          <w:sz w:val="24"/>
          <w:szCs w:val="24"/>
        </w:rPr>
        <w:t xml:space="preserve"> lait</w:t>
      </w:r>
      <w:r w:rsidR="00C73B7C">
        <w:rPr>
          <w:color w:val="000000" w:themeColor="text1"/>
          <w:sz w:val="24"/>
          <w:szCs w:val="24"/>
        </w:rPr>
        <w:t xml:space="preserve"> étudié, cette fois-ci</w:t>
      </w:r>
      <w:r>
        <w:rPr>
          <w:color w:val="000000" w:themeColor="text1"/>
          <w:sz w:val="24"/>
          <w:szCs w:val="24"/>
        </w:rPr>
        <w:t xml:space="preserve"> en le faisant couler le long de la paroi afin d'éviter au maximum le mélange des deux liquides. Si un anneau noir se forme, la manipulation est à recommencer.</w:t>
      </w:r>
      <w:r w:rsidR="00C73B7C">
        <w:rPr>
          <w:color w:val="000000" w:themeColor="text1"/>
          <w:sz w:val="24"/>
          <w:szCs w:val="24"/>
        </w:rPr>
        <w:t xml:space="preserve"> Puis terminer par l'ajout</w:t>
      </w:r>
      <w:r>
        <w:rPr>
          <w:color w:val="000000" w:themeColor="text1"/>
          <w:sz w:val="24"/>
          <w:szCs w:val="24"/>
        </w:rPr>
        <w:t xml:space="preserve"> d'alcool </w:t>
      </w:r>
      <w:proofErr w:type="spellStart"/>
      <w:r>
        <w:rPr>
          <w:color w:val="000000" w:themeColor="text1"/>
          <w:sz w:val="24"/>
          <w:szCs w:val="24"/>
        </w:rPr>
        <w:t>isoamylique</w:t>
      </w:r>
      <w:proofErr w:type="spellEnd"/>
      <w:r w:rsidR="00C73B7C">
        <w:rPr>
          <w:color w:val="000000" w:themeColor="text1"/>
          <w:sz w:val="24"/>
          <w:szCs w:val="24"/>
        </w:rPr>
        <w:t xml:space="preserve"> qui facilitera la séparation ultérieure.</w:t>
      </w:r>
      <w:r w:rsidR="00C73B7C">
        <w:rPr>
          <w:color w:val="000000" w:themeColor="text1"/>
          <w:sz w:val="24"/>
          <w:szCs w:val="24"/>
        </w:rPr>
        <w:br/>
        <w:t>• Agiter lentement le butyromètre (entouré d'un chiffon), muni d'un bouchon que l'on tiendra enfoncé avec le pousse, par retournement jusqu'à dissolution des protéines (particules blanches) afin d'avoir une homogénéité.</w:t>
      </w:r>
      <w:r w:rsidR="00C73B7C">
        <w:rPr>
          <w:color w:val="000000" w:themeColor="text1"/>
          <w:sz w:val="24"/>
          <w:szCs w:val="24"/>
        </w:rPr>
        <w:br/>
        <w:t>• On procède à une centrifugation en disposant les butyromètres pointe vers le centre et adapter la vitesse. Après cela, les sortir pointe vers le haut, on distinguera en jaune la matière grasse du brun que constitue le reste du mélange. La colonne de matière grasse doit se trouver dans la zone graduée.</w:t>
      </w:r>
      <w:r w:rsidR="000173D2">
        <w:rPr>
          <w:color w:val="000000" w:themeColor="text1"/>
          <w:sz w:val="24"/>
          <w:szCs w:val="24"/>
        </w:rPr>
        <w:br/>
        <w:t>•</w:t>
      </w:r>
      <w:r w:rsidR="00342A33">
        <w:rPr>
          <w:color w:val="000000" w:themeColor="text1"/>
          <w:sz w:val="24"/>
          <w:szCs w:val="24"/>
        </w:rPr>
        <w:t xml:space="preserve"> Après chauffage du butyromètre pointe vers le haut dans un bain marie, le sortir et rapidement ajuster le bouchon pour placer convenablement l'extrémité inférieure de la colonne de matière grasse afin de mesurer sa quantité.</w:t>
      </w:r>
    </w:p>
    <w:p w:rsidR="0002238B" w:rsidRDefault="0002238B" w:rsidP="008C7B38">
      <w:pPr>
        <w:tabs>
          <w:tab w:val="left" w:pos="0"/>
        </w:tabs>
        <w:rPr>
          <w:color w:val="000000" w:themeColor="text1"/>
          <w:sz w:val="24"/>
          <w:szCs w:val="24"/>
        </w:rPr>
      </w:pPr>
    </w:p>
    <w:p w:rsidR="0002238B" w:rsidRDefault="0002238B" w:rsidP="008C7B38">
      <w:pPr>
        <w:tabs>
          <w:tab w:val="left" w:pos="0"/>
        </w:tabs>
        <w:rPr>
          <w:color w:val="000000" w:themeColor="text1"/>
          <w:sz w:val="24"/>
          <w:szCs w:val="24"/>
        </w:rPr>
      </w:pPr>
    </w:p>
    <w:p w:rsidR="0002238B" w:rsidRDefault="0002238B" w:rsidP="008C7B38">
      <w:pPr>
        <w:tabs>
          <w:tab w:val="left" w:pos="0"/>
        </w:tabs>
        <w:rPr>
          <w:color w:val="000000" w:themeColor="text1"/>
          <w:sz w:val="24"/>
          <w:szCs w:val="24"/>
        </w:rPr>
      </w:pPr>
    </w:p>
    <w:p w:rsidR="0002238B" w:rsidRDefault="0002238B" w:rsidP="008C7B38">
      <w:pPr>
        <w:tabs>
          <w:tab w:val="left" w:pos="0"/>
        </w:tabs>
        <w:rPr>
          <w:color w:val="000000" w:themeColor="text1"/>
          <w:sz w:val="24"/>
          <w:szCs w:val="24"/>
        </w:rPr>
      </w:pPr>
    </w:p>
    <w:p w:rsidR="0002238B" w:rsidRDefault="0002238B" w:rsidP="008C7B38">
      <w:pPr>
        <w:tabs>
          <w:tab w:val="left" w:pos="0"/>
        </w:tabs>
        <w:rPr>
          <w:color w:val="000000" w:themeColor="text1"/>
          <w:sz w:val="24"/>
          <w:szCs w:val="24"/>
        </w:rPr>
      </w:pPr>
    </w:p>
    <w:p w:rsidR="0002238B" w:rsidRDefault="0002238B" w:rsidP="008C7B38">
      <w:pPr>
        <w:tabs>
          <w:tab w:val="left" w:pos="0"/>
        </w:tabs>
        <w:rPr>
          <w:color w:val="000000" w:themeColor="text1"/>
          <w:sz w:val="24"/>
          <w:szCs w:val="24"/>
        </w:rPr>
      </w:pPr>
    </w:p>
    <w:p w:rsidR="00342A33" w:rsidRDefault="00342A33" w:rsidP="008C7B38">
      <w:pPr>
        <w:tabs>
          <w:tab w:val="left" w:pos="0"/>
        </w:tabs>
        <w:rPr>
          <w:color w:val="000000" w:themeColor="text1"/>
          <w:sz w:val="24"/>
          <w:szCs w:val="24"/>
        </w:rPr>
      </w:pPr>
    </w:p>
    <w:p w:rsidR="00342A33" w:rsidRDefault="00342A33" w:rsidP="00342A33">
      <w:pPr>
        <w:tabs>
          <w:tab w:val="left" w:pos="7655"/>
        </w:tabs>
        <w:jc w:val="center"/>
        <w:rPr>
          <w:b/>
          <w:color w:val="00B050"/>
          <w:sz w:val="32"/>
          <w:u w:val="single"/>
        </w:rPr>
      </w:pPr>
      <w:r>
        <w:rPr>
          <w:b/>
          <w:color w:val="00B050"/>
          <w:sz w:val="32"/>
          <w:u w:val="single"/>
        </w:rPr>
        <w:lastRenderedPageBreak/>
        <w:t>Discussion du résultat</w:t>
      </w:r>
    </w:p>
    <w:p w:rsidR="002052E7" w:rsidRPr="006B51F9" w:rsidRDefault="006B51F9" w:rsidP="002052E7">
      <w:pPr>
        <w:tabs>
          <w:tab w:val="left" w:pos="0"/>
        </w:tabs>
        <w:rPr>
          <w:sz w:val="24"/>
        </w:rPr>
      </w:pPr>
      <w:r w:rsidRPr="006B51F9">
        <w:rPr>
          <w:sz w:val="24"/>
        </w:rPr>
        <w:t>N1 = 1,7cm</w:t>
      </w:r>
      <w:r w:rsidRPr="006B51F9">
        <w:rPr>
          <w:sz w:val="24"/>
        </w:rPr>
        <w:tab/>
        <w:t>N2 = 5,6cm</w:t>
      </w:r>
      <w:r w:rsidRPr="006B51F9">
        <w:rPr>
          <w:sz w:val="24"/>
        </w:rPr>
        <w:tab/>
        <w:t>N2-N1 = 3,9cm</w:t>
      </w:r>
      <w:r>
        <w:rPr>
          <w:sz w:val="24"/>
        </w:rPr>
        <w:t>, ainsi, la teneur en matière grasse de notre lait équivaut à 39g/L, soit 3,9%</w:t>
      </w:r>
    </w:p>
    <w:tbl>
      <w:tblPr>
        <w:tblStyle w:val="Grilledutableau"/>
        <w:tblW w:w="0" w:type="auto"/>
        <w:tblLook w:val="04A0"/>
      </w:tblPr>
      <w:tblGrid>
        <w:gridCol w:w="1842"/>
        <w:gridCol w:w="1842"/>
        <w:gridCol w:w="1842"/>
        <w:gridCol w:w="1842"/>
        <w:gridCol w:w="1843"/>
      </w:tblGrid>
      <w:tr w:rsidR="002052E7" w:rsidRPr="002052E7" w:rsidTr="002052E7">
        <w:tc>
          <w:tcPr>
            <w:tcW w:w="1842" w:type="dxa"/>
            <w:vAlign w:val="center"/>
          </w:tcPr>
          <w:p w:rsidR="002052E7" w:rsidRPr="002052E7" w:rsidRDefault="002052E7" w:rsidP="002052E7">
            <w:pPr>
              <w:tabs>
                <w:tab w:val="left" w:pos="0"/>
              </w:tabs>
              <w:jc w:val="center"/>
              <w:rPr>
                <w:b/>
              </w:rPr>
            </w:pPr>
            <w:r w:rsidRPr="002052E7">
              <w:rPr>
                <w:b/>
              </w:rPr>
              <w:t>Lait</w:t>
            </w:r>
          </w:p>
        </w:tc>
        <w:tc>
          <w:tcPr>
            <w:tcW w:w="1842" w:type="dxa"/>
            <w:vAlign w:val="center"/>
          </w:tcPr>
          <w:p w:rsidR="002052E7" w:rsidRPr="002052E7" w:rsidRDefault="002052E7" w:rsidP="002052E7">
            <w:pPr>
              <w:tabs>
                <w:tab w:val="left" w:pos="0"/>
              </w:tabs>
              <w:jc w:val="center"/>
              <w:rPr>
                <w:b/>
              </w:rPr>
            </w:pPr>
            <w:r w:rsidRPr="002052E7">
              <w:rPr>
                <w:b/>
              </w:rPr>
              <w:t>1</w:t>
            </w:r>
          </w:p>
        </w:tc>
        <w:tc>
          <w:tcPr>
            <w:tcW w:w="1842" w:type="dxa"/>
            <w:vAlign w:val="center"/>
          </w:tcPr>
          <w:p w:rsidR="002052E7" w:rsidRPr="002052E7" w:rsidRDefault="002052E7" w:rsidP="002052E7">
            <w:pPr>
              <w:tabs>
                <w:tab w:val="left" w:pos="0"/>
              </w:tabs>
              <w:jc w:val="center"/>
              <w:rPr>
                <w:b/>
              </w:rPr>
            </w:pPr>
            <w:r w:rsidRPr="002052E7">
              <w:rPr>
                <w:b/>
              </w:rPr>
              <w:t>2</w:t>
            </w:r>
          </w:p>
        </w:tc>
        <w:tc>
          <w:tcPr>
            <w:tcW w:w="1842" w:type="dxa"/>
            <w:vAlign w:val="center"/>
          </w:tcPr>
          <w:p w:rsidR="002052E7" w:rsidRPr="002052E7" w:rsidRDefault="002052E7" w:rsidP="002052E7">
            <w:pPr>
              <w:tabs>
                <w:tab w:val="left" w:pos="0"/>
              </w:tabs>
              <w:jc w:val="center"/>
              <w:rPr>
                <w:b/>
              </w:rPr>
            </w:pPr>
            <w:r w:rsidRPr="002052E7">
              <w:rPr>
                <w:b/>
              </w:rPr>
              <w:t>3</w:t>
            </w:r>
          </w:p>
        </w:tc>
        <w:tc>
          <w:tcPr>
            <w:tcW w:w="1843" w:type="dxa"/>
            <w:shd w:val="clear" w:color="auto" w:fill="8DB3E2" w:themeFill="text2" w:themeFillTint="66"/>
            <w:vAlign w:val="center"/>
          </w:tcPr>
          <w:p w:rsidR="002052E7" w:rsidRPr="002052E7" w:rsidRDefault="002052E7" w:rsidP="002052E7">
            <w:pPr>
              <w:tabs>
                <w:tab w:val="left" w:pos="0"/>
              </w:tabs>
              <w:jc w:val="center"/>
              <w:rPr>
                <w:b/>
              </w:rPr>
            </w:pPr>
            <w:r w:rsidRPr="002052E7">
              <w:rPr>
                <w:b/>
              </w:rPr>
              <w:t>5</w:t>
            </w:r>
          </w:p>
        </w:tc>
      </w:tr>
      <w:tr w:rsidR="002052E7" w:rsidTr="002052E7">
        <w:tc>
          <w:tcPr>
            <w:tcW w:w="1842" w:type="dxa"/>
            <w:vAlign w:val="center"/>
          </w:tcPr>
          <w:p w:rsidR="002052E7" w:rsidRPr="002052E7" w:rsidRDefault="002052E7" w:rsidP="002052E7">
            <w:pPr>
              <w:tabs>
                <w:tab w:val="left" w:pos="0"/>
              </w:tabs>
              <w:jc w:val="center"/>
              <w:rPr>
                <w:b/>
              </w:rPr>
            </w:pPr>
            <w:r w:rsidRPr="002052E7">
              <w:rPr>
                <w:b/>
              </w:rPr>
              <w:t>Teneur de MG (en g/L)</w:t>
            </w:r>
          </w:p>
        </w:tc>
        <w:tc>
          <w:tcPr>
            <w:tcW w:w="1842" w:type="dxa"/>
            <w:vAlign w:val="center"/>
          </w:tcPr>
          <w:p w:rsidR="002052E7" w:rsidRDefault="002052E7" w:rsidP="002052E7">
            <w:pPr>
              <w:tabs>
                <w:tab w:val="left" w:pos="0"/>
              </w:tabs>
              <w:jc w:val="center"/>
            </w:pPr>
            <w:r>
              <w:t>0</w:t>
            </w:r>
          </w:p>
        </w:tc>
        <w:tc>
          <w:tcPr>
            <w:tcW w:w="1842" w:type="dxa"/>
            <w:vAlign w:val="center"/>
          </w:tcPr>
          <w:p w:rsidR="002052E7" w:rsidRDefault="002052E7" w:rsidP="002052E7">
            <w:pPr>
              <w:tabs>
                <w:tab w:val="left" w:pos="0"/>
              </w:tabs>
              <w:jc w:val="center"/>
            </w:pPr>
            <w:r>
              <w:t>16,5</w:t>
            </w:r>
          </w:p>
        </w:tc>
        <w:tc>
          <w:tcPr>
            <w:tcW w:w="1842" w:type="dxa"/>
            <w:vAlign w:val="center"/>
          </w:tcPr>
          <w:p w:rsidR="002052E7" w:rsidRDefault="002052E7" w:rsidP="002052E7">
            <w:pPr>
              <w:tabs>
                <w:tab w:val="left" w:pos="0"/>
              </w:tabs>
              <w:jc w:val="center"/>
            </w:pPr>
            <w:r>
              <w:t>36</w:t>
            </w:r>
          </w:p>
        </w:tc>
        <w:tc>
          <w:tcPr>
            <w:tcW w:w="1843" w:type="dxa"/>
            <w:shd w:val="clear" w:color="auto" w:fill="8DB3E2" w:themeFill="text2" w:themeFillTint="66"/>
            <w:vAlign w:val="center"/>
          </w:tcPr>
          <w:p w:rsidR="002052E7" w:rsidRDefault="002052E7" w:rsidP="002052E7">
            <w:pPr>
              <w:tabs>
                <w:tab w:val="left" w:pos="0"/>
              </w:tabs>
              <w:jc w:val="center"/>
            </w:pPr>
            <w:r>
              <w:t>39</w:t>
            </w:r>
          </w:p>
        </w:tc>
      </w:tr>
    </w:tbl>
    <w:p w:rsidR="002052E7" w:rsidRPr="002052E7" w:rsidRDefault="002052E7" w:rsidP="002052E7">
      <w:pPr>
        <w:tabs>
          <w:tab w:val="left" w:pos="0"/>
        </w:tabs>
      </w:pPr>
    </w:p>
    <w:p w:rsidR="00342A33" w:rsidRDefault="0002238B" w:rsidP="008C7B38">
      <w:pPr>
        <w:tabs>
          <w:tab w:val="left" w:pos="0"/>
        </w:tabs>
        <w:rPr>
          <w:color w:val="000000" w:themeColor="text1"/>
          <w:sz w:val="24"/>
          <w:szCs w:val="24"/>
        </w:rPr>
      </w:pPr>
      <w:r>
        <w:rPr>
          <w:color w:val="000000" w:themeColor="text1"/>
          <w:sz w:val="24"/>
          <w:szCs w:val="24"/>
        </w:rPr>
        <w:t xml:space="preserve">Notre lait </w:t>
      </w:r>
      <w:r w:rsidR="006B51F9">
        <w:rPr>
          <w:color w:val="000000" w:themeColor="text1"/>
          <w:sz w:val="24"/>
          <w:szCs w:val="24"/>
        </w:rPr>
        <w:t>est</w:t>
      </w:r>
      <w:r>
        <w:rPr>
          <w:color w:val="000000" w:themeColor="text1"/>
          <w:sz w:val="24"/>
          <w:szCs w:val="24"/>
        </w:rPr>
        <w:t xml:space="preserve"> le lait cru, les résultats cohérent tout à fait puisque notre teneur en matière grasse est la plus élevée de toutes celles calculées. </w:t>
      </w:r>
      <w:r w:rsidR="00390FB6" w:rsidRPr="00390FB6">
        <w:rPr>
          <w:rFonts w:cs="Arial"/>
          <w:sz w:val="24"/>
          <w:szCs w:val="18"/>
        </w:rPr>
        <w:t>L’écrémage permet d’éliminer la partiellement ou totalement  la matière grasse du lait cru/entier, c'est pour cela que le lait 1 (écrémé) n'a pas de matière grasse.</w:t>
      </w:r>
      <w:r w:rsidR="00D212CE">
        <w:rPr>
          <w:rFonts w:cs="Arial"/>
          <w:sz w:val="24"/>
          <w:szCs w:val="18"/>
        </w:rPr>
        <w:br/>
        <w:t>Les données du TP nous indiquent que un lait est écrémé entre 0 et 3g/L; semi écrémé entre16 et 18g/L; entier entre 32 et 35g/L et cru entre 39 et 41 g/L.</w:t>
      </w:r>
      <w:r w:rsidR="006A7F39">
        <w:rPr>
          <w:color w:val="000000" w:themeColor="text1"/>
          <w:sz w:val="24"/>
          <w:szCs w:val="24"/>
        </w:rPr>
        <w:br/>
      </w:r>
      <w:r w:rsidR="006B51F9">
        <w:rPr>
          <w:color w:val="000000" w:themeColor="text1"/>
          <w:sz w:val="24"/>
          <w:szCs w:val="24"/>
        </w:rPr>
        <w:t>D'après des recherches plus poussées, l</w:t>
      </w:r>
      <w:r w:rsidR="006A7F39">
        <w:rPr>
          <w:color w:val="000000" w:themeColor="text1"/>
          <w:sz w:val="24"/>
          <w:szCs w:val="24"/>
        </w:rPr>
        <w:t xml:space="preserve">e lait cru possède généralement une teneur en matière grasse de 36 à 44g/kg de lait, soit entre 37 et </w:t>
      </w:r>
      <w:r w:rsidR="00F52935">
        <w:rPr>
          <w:color w:val="000000" w:themeColor="text1"/>
          <w:sz w:val="24"/>
          <w:szCs w:val="24"/>
        </w:rPr>
        <w:t>45,5g/L</w:t>
      </w:r>
      <w:r w:rsidR="00380C1C">
        <w:rPr>
          <w:color w:val="000000" w:themeColor="text1"/>
          <w:sz w:val="24"/>
          <w:szCs w:val="24"/>
        </w:rPr>
        <w:t xml:space="preserve"> (car densité du lait de 1,032), notre valeur semble donc relativement plausible.</w:t>
      </w:r>
    </w:p>
    <w:p w:rsidR="00F52935" w:rsidRDefault="00F52935" w:rsidP="00F52935">
      <w:pPr>
        <w:tabs>
          <w:tab w:val="left" w:pos="7655"/>
        </w:tabs>
        <w:jc w:val="center"/>
        <w:rPr>
          <w:b/>
          <w:color w:val="00B050"/>
          <w:sz w:val="32"/>
          <w:u w:val="single"/>
        </w:rPr>
      </w:pPr>
      <w:r>
        <w:rPr>
          <w:b/>
          <w:color w:val="00B050"/>
          <w:sz w:val="32"/>
          <w:u w:val="single"/>
        </w:rPr>
        <w:t>Rôle de l'élément dosé</w:t>
      </w:r>
    </w:p>
    <w:p w:rsidR="001E5E64" w:rsidRDefault="00380C1C" w:rsidP="00380C1C">
      <w:pPr>
        <w:rPr>
          <w:sz w:val="24"/>
        </w:rPr>
      </w:pPr>
      <w:r>
        <w:tab/>
      </w:r>
      <w:r w:rsidR="00390FB6" w:rsidRPr="00390FB6">
        <w:rPr>
          <w:sz w:val="24"/>
        </w:rPr>
        <w:t>La matière grasse a un rôle essentiel dans le métabolisme, puisqu'elle lui apporte de l'énergie</w:t>
      </w:r>
      <w:r w:rsidR="0035781D">
        <w:rPr>
          <w:sz w:val="24"/>
        </w:rPr>
        <w:t xml:space="preserve"> et permet ainsi la croissance durant les premières années de la vie</w:t>
      </w:r>
      <w:r w:rsidR="00390FB6" w:rsidRPr="00390FB6">
        <w:rPr>
          <w:sz w:val="24"/>
        </w:rPr>
        <w:t xml:space="preserve">, </w:t>
      </w:r>
      <w:r w:rsidR="00390FB6">
        <w:rPr>
          <w:sz w:val="24"/>
        </w:rPr>
        <w:t xml:space="preserve">et ses lipides sont utilisés, entres autres, </w:t>
      </w:r>
      <w:r w:rsidR="00390FB6" w:rsidRPr="00390FB6">
        <w:rPr>
          <w:sz w:val="24"/>
        </w:rPr>
        <w:t>pour former des membranes cellulaires</w:t>
      </w:r>
      <w:r w:rsidR="0035781D">
        <w:rPr>
          <w:sz w:val="24"/>
        </w:rPr>
        <w:t xml:space="preserve"> lors des deux premières années de vie</w:t>
      </w:r>
      <w:r w:rsidR="00390FB6">
        <w:rPr>
          <w:sz w:val="24"/>
        </w:rPr>
        <w:t>. Elle</w:t>
      </w:r>
      <w:r w:rsidR="00390FB6" w:rsidRPr="00390FB6">
        <w:rPr>
          <w:sz w:val="24"/>
        </w:rPr>
        <w:t xml:space="preserve"> correspond aux lipides, et </w:t>
      </w:r>
      <w:r w:rsidR="001E5E64" w:rsidRPr="00390FB6">
        <w:rPr>
          <w:sz w:val="24"/>
        </w:rPr>
        <w:t xml:space="preserve"> représente majoritairement des substances formées de 3 acides g</w:t>
      </w:r>
      <w:r w:rsidR="00390FB6" w:rsidRPr="00390FB6">
        <w:rPr>
          <w:sz w:val="24"/>
        </w:rPr>
        <w:t>ras et de glycérol</w:t>
      </w:r>
      <w:r w:rsidR="001E5E64" w:rsidRPr="00390FB6">
        <w:rPr>
          <w:sz w:val="24"/>
        </w:rPr>
        <w:t>.  La graisse du lait possède énormément d'acides gras (saturés, insaturés, à chaîne courte…), ainsi que des phospholipides, du cholestérol, des vitamines A</w:t>
      </w:r>
      <w:proofErr w:type="gramStart"/>
      <w:r w:rsidR="001E5E64" w:rsidRPr="00390FB6">
        <w:rPr>
          <w:sz w:val="24"/>
        </w:rPr>
        <w:t>,D,K</w:t>
      </w:r>
      <w:proofErr w:type="gramEnd"/>
      <w:r w:rsidR="001E5E64" w:rsidRPr="00390FB6">
        <w:rPr>
          <w:sz w:val="24"/>
        </w:rPr>
        <w:t xml:space="preserve"> et E, des enzymes…</w:t>
      </w:r>
      <w:r w:rsidR="00390FB6">
        <w:rPr>
          <w:sz w:val="24"/>
        </w:rPr>
        <w:t xml:space="preserve"> </w:t>
      </w:r>
      <w:r w:rsidR="0035781D">
        <w:rPr>
          <w:sz w:val="24"/>
        </w:rPr>
        <w:t xml:space="preserve"> Une partie des acides gras essentiels à la formation des tissus est apportée par l'alimentation, du fait qu'ils ne peuvent pas être synthétisés dans le corps. </w:t>
      </w:r>
      <w:r w:rsidR="00390FB6">
        <w:rPr>
          <w:sz w:val="24"/>
        </w:rPr>
        <w:t>Tous ces composés sont importants pour l'organisme</w:t>
      </w:r>
      <w:r w:rsidR="0035781D">
        <w:rPr>
          <w:sz w:val="24"/>
        </w:rPr>
        <w:t xml:space="preserve"> et quelque soit l'âge malgré sa plus grande importance au jeune âge</w:t>
      </w:r>
      <w:r w:rsidR="00390FB6">
        <w:rPr>
          <w:sz w:val="24"/>
        </w:rPr>
        <w:t xml:space="preserve">, d'où la nécessité de consommer du lait afin de palier aux </w:t>
      </w:r>
      <w:r w:rsidR="0035781D">
        <w:rPr>
          <w:sz w:val="24"/>
        </w:rPr>
        <w:t>"</w:t>
      </w:r>
      <w:r w:rsidR="00390FB6">
        <w:rPr>
          <w:sz w:val="24"/>
        </w:rPr>
        <w:t xml:space="preserve">carences </w:t>
      </w:r>
      <w:r w:rsidR="0035781D">
        <w:rPr>
          <w:sz w:val="24"/>
        </w:rPr>
        <w:t xml:space="preserve"> naturelles" </w:t>
      </w:r>
      <w:r w:rsidR="00390FB6">
        <w:rPr>
          <w:sz w:val="24"/>
        </w:rPr>
        <w:t>du corps.</w:t>
      </w:r>
      <w:r w:rsidR="00390FB6" w:rsidRPr="00390FB6">
        <w:rPr>
          <w:sz w:val="24"/>
        </w:rPr>
        <w:t xml:space="preserve">  </w:t>
      </w:r>
    </w:p>
    <w:p w:rsidR="00DD7589" w:rsidRDefault="00DD7589" w:rsidP="00380C1C">
      <w:pPr>
        <w:rPr>
          <w:sz w:val="24"/>
        </w:rPr>
      </w:pPr>
    </w:p>
    <w:p w:rsidR="00DD7589" w:rsidRPr="00DD7589" w:rsidRDefault="00DD7589" w:rsidP="00380C1C">
      <w:pPr>
        <w:rPr>
          <w:color w:val="1F497D" w:themeColor="text2"/>
        </w:rPr>
      </w:pPr>
      <w:r w:rsidRPr="00DD7589">
        <w:rPr>
          <w:b/>
          <w:color w:val="1F497D" w:themeColor="text2"/>
          <w:sz w:val="24"/>
        </w:rPr>
        <w:t xml:space="preserve">Bibliographie : </w:t>
      </w:r>
      <w:r w:rsidRPr="00DD7589">
        <w:rPr>
          <w:b/>
          <w:color w:val="1F497D" w:themeColor="text2"/>
          <w:sz w:val="24"/>
        </w:rPr>
        <w:br/>
      </w:r>
      <w:hyperlink r:id="rId5" w:history="1">
        <w:r w:rsidRPr="00DD7589">
          <w:rPr>
            <w:rStyle w:val="Lienhypertexte"/>
            <w:i/>
            <w:color w:val="1F497D" w:themeColor="text2"/>
            <w:u w:val="none"/>
          </w:rPr>
          <w:t>http://www.candia.fr/nutriments-composent-lait/lipides/index-lipides-3.html</w:t>
        </w:r>
      </w:hyperlink>
      <w:r w:rsidRPr="00DD7589">
        <w:rPr>
          <w:i/>
          <w:color w:val="1F497D" w:themeColor="text2"/>
        </w:rPr>
        <w:br/>
      </w:r>
      <w:hyperlink r:id="rId6" w:history="1">
        <w:r w:rsidRPr="00DD7589">
          <w:rPr>
            <w:rStyle w:val="Lienhypertexte"/>
            <w:i/>
            <w:color w:val="1F497D" w:themeColor="text2"/>
            <w:u w:val="none"/>
          </w:rPr>
          <w:t>http://www.fao.org/docrep/t4660t/t4660t07.htm</w:t>
        </w:r>
      </w:hyperlink>
      <w:r w:rsidRPr="00DD7589">
        <w:rPr>
          <w:i/>
          <w:color w:val="1F497D" w:themeColor="text2"/>
        </w:rPr>
        <w:br/>
      </w:r>
      <w:hyperlink r:id="rId7" w:history="1">
        <w:r w:rsidRPr="00DD7589">
          <w:rPr>
            <w:rStyle w:val="Lienhypertexte"/>
            <w:i/>
            <w:color w:val="1F497D" w:themeColor="text2"/>
            <w:u w:val="none"/>
          </w:rPr>
          <w:t>http://www.iplc.fr/index.asp?sid=356&amp;cid=19604&amp;cvid=22400&amp;lid=1</w:t>
        </w:r>
      </w:hyperlink>
      <w:r w:rsidRPr="00DD7589">
        <w:rPr>
          <w:i/>
          <w:color w:val="1F497D" w:themeColor="text2"/>
        </w:rPr>
        <w:br/>
      </w:r>
      <w:hyperlink r:id="rId8" w:history="1">
        <w:r w:rsidRPr="00DD7589">
          <w:rPr>
            <w:rStyle w:val="Lienhypertexte"/>
            <w:i/>
            <w:color w:val="1F497D" w:themeColor="text2"/>
            <w:u w:val="none"/>
          </w:rPr>
          <w:t>http://www.agroscope.admin.ch/milchfett/index.html?lang=fr</w:t>
        </w:r>
      </w:hyperlink>
      <w:r w:rsidRPr="00DD7589">
        <w:rPr>
          <w:i/>
          <w:color w:val="1F497D" w:themeColor="text2"/>
        </w:rPr>
        <w:br/>
      </w:r>
      <w:hyperlink r:id="rId9" w:history="1">
        <w:r w:rsidRPr="00DD7589">
          <w:rPr>
            <w:rStyle w:val="Lienhypertexte"/>
            <w:i/>
            <w:color w:val="1F497D" w:themeColor="text2"/>
            <w:u w:val="none"/>
          </w:rPr>
          <w:t>http://www.economie.gouv.fr/files/directions_services/daj/marches_publics/oeap/gem/produits_laitiers/5.1.1.1.pdf</w:t>
        </w:r>
      </w:hyperlink>
    </w:p>
    <w:sectPr w:rsidR="00DD7589" w:rsidRPr="00DD7589" w:rsidSect="008C7B38">
      <w:pgSz w:w="11906" w:h="16838"/>
      <w:pgMar w:top="1417" w:right="1417" w:bottom="1417"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C58B7"/>
    <w:multiLevelType w:val="hybridMultilevel"/>
    <w:tmpl w:val="50FA1E8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nsid w:val="4BDA1D1C"/>
    <w:multiLevelType w:val="multilevel"/>
    <w:tmpl w:val="E64A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C71DA5"/>
    <w:multiLevelType w:val="hybridMultilevel"/>
    <w:tmpl w:val="CBC041C6"/>
    <w:lvl w:ilvl="0" w:tplc="19402FE4">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1EE2"/>
    <w:rsid w:val="000173D2"/>
    <w:rsid w:val="0002238B"/>
    <w:rsid w:val="000A085E"/>
    <w:rsid w:val="00116EB3"/>
    <w:rsid w:val="001E5E64"/>
    <w:rsid w:val="002052E7"/>
    <w:rsid w:val="00342A33"/>
    <w:rsid w:val="0035781D"/>
    <w:rsid w:val="00380C1C"/>
    <w:rsid w:val="00390FB6"/>
    <w:rsid w:val="004E2133"/>
    <w:rsid w:val="005406F0"/>
    <w:rsid w:val="00651206"/>
    <w:rsid w:val="006A7F39"/>
    <w:rsid w:val="006B51F9"/>
    <w:rsid w:val="007746D7"/>
    <w:rsid w:val="007B7553"/>
    <w:rsid w:val="007C1EE2"/>
    <w:rsid w:val="00852425"/>
    <w:rsid w:val="008C7B38"/>
    <w:rsid w:val="00944439"/>
    <w:rsid w:val="00A50DFA"/>
    <w:rsid w:val="00AF67F5"/>
    <w:rsid w:val="00B14FF4"/>
    <w:rsid w:val="00C34384"/>
    <w:rsid w:val="00C73B7C"/>
    <w:rsid w:val="00CD122B"/>
    <w:rsid w:val="00D212CE"/>
    <w:rsid w:val="00DD7589"/>
    <w:rsid w:val="00F52935"/>
    <w:rsid w:val="00FE6F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4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7B38"/>
    <w:pPr>
      <w:ind w:left="720"/>
      <w:contextualSpacing/>
    </w:pPr>
  </w:style>
  <w:style w:type="table" w:styleId="Grilledutableau">
    <w:name w:val="Table Grid"/>
    <w:basedOn w:val="TableauNormal"/>
    <w:uiPriority w:val="59"/>
    <w:rsid w:val="002052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A7F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D7589"/>
    <w:rPr>
      <w:color w:val="0000FF"/>
      <w:u w:val="single"/>
    </w:rPr>
  </w:style>
</w:styles>
</file>

<file path=word/webSettings.xml><?xml version="1.0" encoding="utf-8"?>
<w:webSettings xmlns:r="http://schemas.openxmlformats.org/officeDocument/2006/relationships" xmlns:w="http://schemas.openxmlformats.org/wordprocessingml/2006/main">
  <w:divs>
    <w:div w:id="1061290267">
      <w:bodyDiv w:val="1"/>
      <w:marLeft w:val="0"/>
      <w:marRight w:val="0"/>
      <w:marTop w:val="0"/>
      <w:marBottom w:val="0"/>
      <w:divBdr>
        <w:top w:val="none" w:sz="0" w:space="0" w:color="auto"/>
        <w:left w:val="none" w:sz="0" w:space="0" w:color="auto"/>
        <w:bottom w:val="none" w:sz="0" w:space="0" w:color="auto"/>
        <w:right w:val="none" w:sz="0" w:space="0" w:color="auto"/>
      </w:divBdr>
      <w:divsChild>
        <w:div w:id="1464810665">
          <w:marLeft w:val="0"/>
          <w:marRight w:val="0"/>
          <w:marTop w:val="0"/>
          <w:marBottom w:val="0"/>
          <w:divBdr>
            <w:top w:val="none" w:sz="0" w:space="0" w:color="auto"/>
            <w:left w:val="none" w:sz="0" w:space="0" w:color="auto"/>
            <w:bottom w:val="none" w:sz="0" w:space="0" w:color="auto"/>
            <w:right w:val="none" w:sz="0" w:space="0" w:color="auto"/>
          </w:divBdr>
          <w:divsChild>
            <w:div w:id="2012100314">
              <w:marLeft w:val="0"/>
              <w:marRight w:val="0"/>
              <w:marTop w:val="0"/>
              <w:marBottom w:val="0"/>
              <w:divBdr>
                <w:top w:val="none" w:sz="0" w:space="0" w:color="auto"/>
                <w:left w:val="none" w:sz="0" w:space="0" w:color="auto"/>
                <w:bottom w:val="none" w:sz="0" w:space="0" w:color="auto"/>
                <w:right w:val="none" w:sz="0" w:space="0" w:color="auto"/>
              </w:divBdr>
            </w:div>
          </w:divsChild>
        </w:div>
        <w:div w:id="424227818">
          <w:marLeft w:val="0"/>
          <w:marRight w:val="0"/>
          <w:marTop w:val="0"/>
          <w:marBottom w:val="0"/>
          <w:divBdr>
            <w:top w:val="none" w:sz="0" w:space="0" w:color="auto"/>
            <w:left w:val="none" w:sz="0" w:space="0" w:color="auto"/>
            <w:bottom w:val="none" w:sz="0" w:space="0" w:color="auto"/>
            <w:right w:val="none" w:sz="0" w:space="0" w:color="auto"/>
          </w:divBdr>
          <w:divsChild>
            <w:div w:id="790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8366">
      <w:bodyDiv w:val="1"/>
      <w:marLeft w:val="0"/>
      <w:marRight w:val="0"/>
      <w:marTop w:val="0"/>
      <w:marBottom w:val="0"/>
      <w:divBdr>
        <w:top w:val="none" w:sz="0" w:space="0" w:color="auto"/>
        <w:left w:val="none" w:sz="0" w:space="0" w:color="auto"/>
        <w:bottom w:val="none" w:sz="0" w:space="0" w:color="auto"/>
        <w:right w:val="none" w:sz="0" w:space="0" w:color="auto"/>
      </w:divBdr>
    </w:div>
    <w:div w:id="196542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groscope.admin.ch/milchfett/index.html?lang=fr" TargetMode="External"/><Relationship Id="rId3" Type="http://schemas.openxmlformats.org/officeDocument/2006/relationships/settings" Target="settings.xml"/><Relationship Id="rId7" Type="http://schemas.openxmlformats.org/officeDocument/2006/relationships/hyperlink" Target="http://www.iplc.fr/index.asp?sid=356&amp;cid=19604&amp;cvid=22400&amp;li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o.org/docrep/t4660t/t4660t07.htm" TargetMode="External"/><Relationship Id="rId11" Type="http://schemas.openxmlformats.org/officeDocument/2006/relationships/theme" Target="theme/theme1.xml"/><Relationship Id="rId5" Type="http://schemas.openxmlformats.org/officeDocument/2006/relationships/hyperlink" Target="http://www.candia.fr/nutriments-composent-lait/lipides/index-lipides-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conomie.gouv.fr/files/directions_services/daj/marches_publics/oeap/gem/produits_laitiers/5.1.1.1.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672</Words>
  <Characters>3699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9</cp:revision>
  <dcterms:created xsi:type="dcterms:W3CDTF">2013-12-30T16:32:00Z</dcterms:created>
  <dcterms:modified xsi:type="dcterms:W3CDTF">2013-12-31T14:06:00Z</dcterms:modified>
</cp:coreProperties>
</file>