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780"/>
        <w:tblW w:w="15276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8367"/>
      </w:tblGrid>
      <w:tr w:rsidR="00294D26" w:rsidRPr="00B5092F" w:rsidTr="005C563D">
        <w:trPr>
          <w:trHeight w:val="420"/>
        </w:trPr>
        <w:tc>
          <w:tcPr>
            <w:tcW w:w="2303" w:type="dxa"/>
            <w:shd w:val="clear" w:color="auto" w:fill="0000FF"/>
            <w:vAlign w:val="center"/>
          </w:tcPr>
          <w:p w:rsidR="00294D26" w:rsidRPr="005C563D" w:rsidRDefault="00427EF7" w:rsidP="00294D26">
            <w:pPr>
              <w:jc w:val="center"/>
              <w:rPr>
                <w:color w:val="FFFFFF" w:themeColor="background1"/>
              </w:rPr>
            </w:pPr>
            <w:r w:rsidRPr="005C563D">
              <w:rPr>
                <w:color w:val="FFFFFF" w:themeColor="background1"/>
              </w:rPr>
              <w:t>MARJON 2010</w:t>
            </w:r>
          </w:p>
        </w:tc>
        <w:tc>
          <w:tcPr>
            <w:tcW w:w="2303" w:type="dxa"/>
            <w:shd w:val="clear" w:color="auto" w:fill="0000FF"/>
            <w:vAlign w:val="center"/>
          </w:tcPr>
          <w:p w:rsidR="00294D26" w:rsidRPr="005C563D" w:rsidRDefault="00294D26" w:rsidP="00294D26">
            <w:pPr>
              <w:jc w:val="center"/>
              <w:rPr>
                <w:color w:val="FFFFFF" w:themeColor="background1"/>
              </w:rPr>
            </w:pPr>
            <w:r w:rsidRPr="005C563D">
              <w:rPr>
                <w:color w:val="FFFFFF" w:themeColor="background1"/>
              </w:rPr>
              <w:t>Attendu</w:t>
            </w:r>
          </w:p>
        </w:tc>
        <w:tc>
          <w:tcPr>
            <w:tcW w:w="2303" w:type="dxa"/>
            <w:shd w:val="clear" w:color="auto" w:fill="0000FF"/>
            <w:vAlign w:val="center"/>
          </w:tcPr>
          <w:p w:rsidR="00294D26" w:rsidRPr="005C563D" w:rsidRDefault="00294D26" w:rsidP="00294D26">
            <w:pPr>
              <w:jc w:val="center"/>
              <w:rPr>
                <w:color w:val="FFFFFF" w:themeColor="background1"/>
              </w:rPr>
            </w:pPr>
            <w:r w:rsidRPr="005C563D">
              <w:rPr>
                <w:color w:val="FFFFFF" w:themeColor="background1"/>
              </w:rPr>
              <w:t>Réalisé</w:t>
            </w:r>
          </w:p>
        </w:tc>
        <w:tc>
          <w:tcPr>
            <w:tcW w:w="8367" w:type="dxa"/>
            <w:shd w:val="clear" w:color="auto" w:fill="0000FF"/>
            <w:vAlign w:val="center"/>
          </w:tcPr>
          <w:p w:rsidR="00294D26" w:rsidRPr="005C563D" w:rsidRDefault="00294D26" w:rsidP="00294D26">
            <w:pPr>
              <w:jc w:val="center"/>
              <w:rPr>
                <w:color w:val="FFFFFF" w:themeColor="background1"/>
              </w:rPr>
            </w:pPr>
            <w:r w:rsidRPr="005C563D">
              <w:rPr>
                <w:color w:val="FFFFFF" w:themeColor="background1"/>
              </w:rPr>
              <w:t>Commentaires</w:t>
            </w:r>
          </w:p>
        </w:tc>
      </w:tr>
      <w:tr w:rsidR="00294D26" w:rsidRPr="00B5092F" w:rsidTr="00294D26">
        <w:trPr>
          <w:trHeight w:val="300"/>
        </w:trPr>
        <w:tc>
          <w:tcPr>
            <w:tcW w:w="15276" w:type="dxa"/>
            <w:gridSpan w:val="4"/>
            <w:shd w:val="clear" w:color="auto" w:fill="B6DDE8" w:themeFill="accent5" w:themeFillTint="66"/>
            <w:vAlign w:val="center"/>
          </w:tcPr>
          <w:p w:rsidR="00294D26" w:rsidRPr="00B5092F" w:rsidRDefault="00294D26" w:rsidP="00294D26">
            <w:r>
              <w:t>Production adulte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tot</w:t>
            </w:r>
            <w:r w:rsidRPr="00B5092F">
              <w:t xml:space="preserve"> adultes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10 500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 w:rsidRPr="00F30537">
              <w:rPr>
                <w:color w:val="0000FF"/>
              </w:rPr>
              <w:t>8 650</w:t>
            </w:r>
          </w:p>
        </w:tc>
        <w:tc>
          <w:tcPr>
            <w:tcW w:w="8367" w:type="dxa"/>
            <w:vAlign w:val="center"/>
          </w:tcPr>
          <w:p w:rsidR="00294D26" w:rsidRPr="009F6D1E" w:rsidRDefault="00294D26" w:rsidP="00294D26">
            <w:pPr>
              <w:rPr>
                <w:b/>
              </w:rPr>
            </w:pPr>
            <w:r w:rsidRPr="009F6D1E">
              <w:rPr>
                <w:b/>
                <w:color w:val="FF0000"/>
              </w:rPr>
              <w:t>L’écart</w:t>
            </w:r>
            <w:r>
              <w:rPr>
                <w:b/>
                <w:color w:val="FF0000"/>
              </w:rPr>
              <w:t xml:space="preserve"> entre ce que produit le troupeau et l’objectif</w:t>
            </w:r>
            <w:r w:rsidRPr="009F6D1E">
              <w:rPr>
                <w:b/>
                <w:color w:val="FF0000"/>
              </w:rPr>
              <w:t xml:space="preserve"> est supérieur à 5%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Taux de L5</w:t>
            </w:r>
            <w:r>
              <w:t xml:space="preserve"> et </w:t>
            </w:r>
            <w:r w:rsidRPr="00B5092F">
              <w:t>+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>
              <w:rPr>
                <w:b/>
              </w:rPr>
              <w:t>&lt; 10 %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 w:rsidRPr="00F30537">
              <w:rPr>
                <w:color w:val="0000FF"/>
              </w:rPr>
              <w:t>10%</w:t>
            </w:r>
          </w:p>
        </w:tc>
        <w:tc>
          <w:tcPr>
            <w:tcW w:w="8367" w:type="dxa"/>
            <w:vAlign w:val="center"/>
          </w:tcPr>
          <w:p w:rsidR="00294D26" w:rsidRPr="00B5092F" w:rsidRDefault="00294D26" w:rsidP="00294D26">
            <w:r>
              <w:t>Correct</w:t>
            </w:r>
          </w:p>
        </w:tc>
      </w:tr>
      <w:tr w:rsidR="00294D26" w:rsidRPr="00B5092F" w:rsidTr="00294D26">
        <w:trPr>
          <w:trHeight w:val="1336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max</w:t>
            </w:r>
            <w:r w:rsidRPr="00B5092F">
              <w:t xml:space="preserve"> adultes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color w:val="0000FF"/>
              </w:rPr>
            </w:pPr>
            <w:r w:rsidRPr="009F6D1E">
              <w:rPr>
                <w:color w:val="0000FF"/>
              </w:rPr>
              <w:t>52.5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Entre 39 et 40</w:t>
            </w:r>
          </w:p>
        </w:tc>
        <w:tc>
          <w:tcPr>
            <w:tcW w:w="8367" w:type="dxa"/>
            <w:vAlign w:val="center"/>
          </w:tcPr>
          <w:p w:rsidR="00294D26" w:rsidRDefault="00294D26" w:rsidP="00294D26">
            <w:r>
              <w:rPr>
                <w:b/>
                <w:color w:val="FF0000"/>
              </w:rPr>
              <w:t>PL</w:t>
            </w:r>
            <w:r w:rsidRPr="009F6D1E">
              <w:rPr>
                <w:b/>
                <w:color w:val="FF0000"/>
                <w:vertAlign w:val="subscript"/>
              </w:rPr>
              <w:t>max</w:t>
            </w:r>
            <w:r w:rsidRPr="009F6D1E">
              <w:rPr>
                <w:b/>
                <w:color w:val="FF0000"/>
              </w:rPr>
              <w:t xml:space="preserve"> est très insuffisante</w:t>
            </w:r>
            <w:r>
              <w:t>. Les hypothèses suivantes peuvent être posées :</w:t>
            </w:r>
          </w:p>
          <w:p w:rsidR="00294D26" w:rsidRDefault="00294D26" w:rsidP="00294D26">
            <w:pPr>
              <w:pStyle w:val="Paragraphedeliste"/>
              <w:numPr>
                <w:ilvl w:val="0"/>
                <w:numId w:val="1"/>
              </w:numPr>
            </w:pPr>
            <w:r>
              <w:t>Vaches maigres au vêlage (à vérifier sur l’élevage)</w:t>
            </w:r>
          </w:p>
          <w:p w:rsidR="00294D26" w:rsidRDefault="00294D26" w:rsidP="00294D26">
            <w:pPr>
              <w:pStyle w:val="Paragraphedeliste"/>
              <w:numPr>
                <w:ilvl w:val="0"/>
                <w:numId w:val="1"/>
              </w:numPr>
            </w:pPr>
            <w:r>
              <w:t>Pathologies puerpérales (métrites, mammites, hypocalcémie, ...)</w:t>
            </w:r>
          </w:p>
          <w:p w:rsidR="00294D26" w:rsidRDefault="00294D26" w:rsidP="00294D26">
            <w:pPr>
              <w:pStyle w:val="Paragraphedeliste"/>
              <w:numPr>
                <w:ilvl w:val="0"/>
                <w:numId w:val="1"/>
              </w:numPr>
            </w:pPr>
            <w:r>
              <w:t>Tarissement trop court</w:t>
            </w:r>
          </w:p>
          <w:p w:rsidR="00FC0CF7" w:rsidRPr="00B5092F" w:rsidRDefault="00FC0CF7" w:rsidP="00085B71">
            <w:pPr>
              <w:pStyle w:val="Paragraphedeliste"/>
              <w:numPr>
                <w:ilvl w:val="0"/>
                <w:numId w:val="1"/>
              </w:numPr>
            </w:pPr>
            <w:r>
              <w:t>Sous-traite</w:t>
            </w:r>
            <w:r w:rsidR="00085B71">
              <w:t xml:space="preserve"> (à vérifier sur l’élevage)</w:t>
            </w:r>
          </w:p>
        </w:tc>
      </w:tr>
      <w:tr w:rsidR="00294D26" w:rsidRPr="00B5092F" w:rsidTr="00D53D33">
        <w:trPr>
          <w:trHeight w:val="77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>
              <w:t>Durée de tarissement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60-70 jours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 w:rsidRPr="00F30537">
              <w:rPr>
                <w:color w:val="0000FF"/>
              </w:rPr>
              <w:t>De 59 à 73 j</w:t>
            </w:r>
          </w:p>
        </w:tc>
        <w:tc>
          <w:tcPr>
            <w:tcW w:w="8367" w:type="dxa"/>
            <w:vAlign w:val="center"/>
          </w:tcPr>
          <w:p w:rsidR="00294D26" w:rsidRDefault="00294D26" w:rsidP="00294D26">
            <w:r>
              <w:t>Correct.</w:t>
            </w:r>
          </w:p>
          <w:p w:rsidR="00294D26" w:rsidRPr="00B5092F" w:rsidRDefault="00294D26" w:rsidP="00294D26">
            <w:r>
              <w:t>L’hypothèse du tarissement trop court n’est donc pas recevable pour expliquer la PL insuffisante</w:t>
            </w:r>
          </w:p>
        </w:tc>
      </w:tr>
      <w:tr w:rsidR="00294D26" w:rsidRPr="00B5092F" w:rsidTr="00D53D33">
        <w:trPr>
          <w:trHeight w:val="693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Réformes pour maladies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&lt; 10 % du troupeau</w:t>
            </w:r>
          </w:p>
        </w:tc>
        <w:tc>
          <w:tcPr>
            <w:tcW w:w="2303" w:type="dxa"/>
            <w:vAlign w:val="center"/>
          </w:tcPr>
          <w:p w:rsidR="00294D26" w:rsidRPr="00F30537" w:rsidRDefault="00685AD4" w:rsidP="00294D26">
            <w:pPr>
              <w:jc w:val="center"/>
              <w:rPr>
                <w:color w:val="0000FF"/>
              </w:rPr>
            </w:pPr>
            <w:r>
              <w:t>(0+</w:t>
            </w:r>
            <w:r w:rsidR="00294D26">
              <w:t>5</w:t>
            </w:r>
            <w:r>
              <w:t>)</w:t>
            </w:r>
            <w:r w:rsidR="00294D26">
              <w:t>/60.7</w:t>
            </w:r>
          </w:p>
        </w:tc>
        <w:tc>
          <w:tcPr>
            <w:tcW w:w="8367" w:type="dxa"/>
            <w:vAlign w:val="center"/>
          </w:tcPr>
          <w:p w:rsidR="00294D26" w:rsidRPr="00B5092F" w:rsidRDefault="00294D26" w:rsidP="00294D26">
            <w:r>
              <w:t xml:space="preserve">Taux faible. Malgré tout, </w:t>
            </w:r>
            <w:r w:rsidRPr="00294D26">
              <w:rPr>
                <w:b/>
                <w:color w:val="FF0000"/>
              </w:rPr>
              <w:t>les mammites semblent être les maladies principales.</w:t>
            </w:r>
            <w:r w:rsidRPr="00294D26">
              <w:rPr>
                <w:color w:val="FF0000"/>
              </w:rPr>
              <w:t xml:space="preserve"> </w:t>
            </w:r>
            <w:r>
              <w:t xml:space="preserve">Les accidents </w:t>
            </w:r>
            <w:r w:rsidR="00F95478">
              <w:t xml:space="preserve">mortels </w:t>
            </w:r>
            <w:r>
              <w:t>sont également présents.</w:t>
            </w:r>
          </w:p>
        </w:tc>
      </w:tr>
      <w:tr w:rsidR="003A6FD6" w:rsidRPr="00B5092F" w:rsidTr="00D53D33">
        <w:trPr>
          <w:trHeight w:val="693"/>
        </w:trPr>
        <w:tc>
          <w:tcPr>
            <w:tcW w:w="2303" w:type="dxa"/>
            <w:vAlign w:val="center"/>
          </w:tcPr>
          <w:p w:rsidR="003A6FD6" w:rsidRPr="00B5092F" w:rsidRDefault="003A6FD6" w:rsidP="00294D26">
            <w:pPr>
              <w:jc w:val="center"/>
            </w:pPr>
            <w:r>
              <w:t>Arrêts précoces</w:t>
            </w:r>
          </w:p>
        </w:tc>
        <w:tc>
          <w:tcPr>
            <w:tcW w:w="2303" w:type="dxa"/>
            <w:vAlign w:val="center"/>
          </w:tcPr>
          <w:p w:rsidR="003A6FD6" w:rsidRPr="00B5092F" w:rsidRDefault="00496E2B" w:rsidP="00496E2B">
            <w:pPr>
              <w:jc w:val="center"/>
              <w:rPr>
                <w:b/>
              </w:rPr>
            </w:pPr>
            <w:r w:rsidRPr="00B5092F">
              <w:rPr>
                <w:b/>
              </w:rPr>
              <w:t xml:space="preserve">&lt; </w:t>
            </w:r>
            <w:r>
              <w:rPr>
                <w:b/>
              </w:rPr>
              <w:t>5</w:t>
            </w:r>
            <w:r w:rsidRPr="00B5092F">
              <w:rPr>
                <w:b/>
              </w:rPr>
              <w:t xml:space="preserve"> % du troupeau</w:t>
            </w:r>
          </w:p>
        </w:tc>
        <w:tc>
          <w:tcPr>
            <w:tcW w:w="2303" w:type="dxa"/>
            <w:vAlign w:val="center"/>
          </w:tcPr>
          <w:p w:rsidR="003A6FD6" w:rsidRDefault="00685AD4" w:rsidP="00294D26">
            <w:pPr>
              <w:jc w:val="center"/>
            </w:pPr>
            <w:r>
              <w:t>4/(44+4) = 8%</w:t>
            </w:r>
            <w:r w:rsidR="00496E2B">
              <w:t xml:space="preserve"> &gt; 5%</w:t>
            </w:r>
          </w:p>
        </w:tc>
        <w:tc>
          <w:tcPr>
            <w:tcW w:w="8367" w:type="dxa"/>
            <w:vAlign w:val="center"/>
          </w:tcPr>
          <w:p w:rsidR="003A6FD6" w:rsidRDefault="00496E2B" w:rsidP="00294D26">
            <w:r>
              <w:t>Les pathologies se manifestent anormalement par des arrêts précoces. Faiblesse immunitaire ou virulence exceptionnelle ?</w:t>
            </w:r>
          </w:p>
        </w:tc>
      </w:tr>
      <w:tr w:rsidR="00294D26" w:rsidRPr="00B5092F" w:rsidTr="00294D26">
        <w:trPr>
          <w:trHeight w:val="844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Evolution des Leuco mensuels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Toujours &lt; 300 000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De très nombreux mois &gt; 300</w:t>
            </w:r>
          </w:p>
        </w:tc>
        <w:tc>
          <w:tcPr>
            <w:tcW w:w="8367" w:type="dxa"/>
            <w:vAlign w:val="center"/>
          </w:tcPr>
          <w:p w:rsidR="00294D26" w:rsidRPr="00B5092F" w:rsidRDefault="00294D26" w:rsidP="00294D26">
            <w:r w:rsidRPr="00294D26">
              <w:rPr>
                <w:b/>
                <w:color w:val="FF0000"/>
              </w:rPr>
              <w:t xml:space="preserve">Les mammites touchent le troupeaux toute l’année. </w:t>
            </w:r>
            <w:r>
              <w:t>Elles sont un facteurs supplémentaire de la réduction de la PL du troupeau. Leur fréquence régulière suppose des infections chroniques, assez symboliques des animaux à</w:t>
            </w:r>
            <w:r w:rsidRPr="00294D26">
              <w:rPr>
                <w:b/>
                <w:color w:val="FF0000"/>
              </w:rPr>
              <w:t xml:space="preserve"> faiblesse immunitaire</w:t>
            </w:r>
            <w:r>
              <w:t>.</w:t>
            </w:r>
            <w:r w:rsidR="001F5C8A">
              <w:t xml:space="preserve"> 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A</w:t>
            </w:r>
            <w:r>
              <w:t>ccid</w:t>
            </w:r>
            <w:r w:rsidRPr="00B5092F">
              <w:t>e</w:t>
            </w:r>
            <w:r>
              <w:t>n</w:t>
            </w:r>
            <w:r w:rsidRPr="00B5092F">
              <w:t xml:space="preserve">ts </w:t>
            </w:r>
            <w:r w:rsidR="00F95478">
              <w:t xml:space="preserve">de lactation </w:t>
            </w:r>
            <w:r w:rsidRPr="00B5092F">
              <w:t>mensuels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  <w:rPr>
                <w:b/>
              </w:rPr>
            </w:pPr>
            <w:r w:rsidRPr="00B5092F">
              <w:rPr>
                <w:b/>
              </w:rPr>
              <w:t>&lt; 10% chaque mois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</w:p>
        </w:tc>
        <w:tc>
          <w:tcPr>
            <w:tcW w:w="8367" w:type="dxa"/>
            <w:vAlign w:val="center"/>
          </w:tcPr>
          <w:p w:rsidR="00294D26" w:rsidRPr="00B5092F" w:rsidRDefault="00294D26" w:rsidP="00D53D33">
            <w:r>
              <w:t>Les accidents sont fréquents, toute l’année. Les mammites semblent s’expriment par des accidents, ce qui montrent leur virulence ou la faiblesse du système immunitaire des vaches.</w:t>
            </w:r>
            <w:r w:rsidR="001F5C8A">
              <w:t xml:space="preserve"> L’IVV</w:t>
            </w:r>
            <w:r w:rsidR="00C67D86">
              <w:t xml:space="preserve"> très long (469j) plaide en fa</w:t>
            </w:r>
            <w:r w:rsidR="001F5C8A">
              <w:t>veur d’une faiblesse immunitaire liée à un amaigrissement sévère en début de lactation.</w:t>
            </w:r>
          </w:p>
        </w:tc>
      </w:tr>
      <w:tr w:rsidR="00294D26" w:rsidRPr="00B5092F" w:rsidTr="00294D26">
        <w:trPr>
          <w:trHeight w:val="295"/>
        </w:trPr>
        <w:tc>
          <w:tcPr>
            <w:tcW w:w="15276" w:type="dxa"/>
            <w:gridSpan w:val="4"/>
            <w:shd w:val="clear" w:color="auto" w:fill="B6DDE8" w:themeFill="accent5" w:themeFillTint="66"/>
            <w:vAlign w:val="center"/>
          </w:tcPr>
          <w:p w:rsidR="00294D26" w:rsidRPr="00B5092F" w:rsidRDefault="00294D26" w:rsidP="00294D26">
            <w:r>
              <w:t>Production L1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Taux de L1</w:t>
            </w:r>
          </w:p>
        </w:tc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rPr>
                <w:b/>
              </w:rPr>
              <w:t>25%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31%</w:t>
            </w:r>
          </w:p>
        </w:tc>
        <w:tc>
          <w:tcPr>
            <w:tcW w:w="8367" w:type="dxa"/>
            <w:vAlign w:val="center"/>
          </w:tcPr>
          <w:p w:rsidR="00294D26" w:rsidRPr="00294D26" w:rsidRDefault="00EB6D48" w:rsidP="00EB6D48">
            <w:pPr>
              <w:rPr>
                <w:b/>
              </w:rPr>
            </w:pPr>
            <w:r>
              <w:rPr>
                <w:b/>
                <w:color w:val="FF0000"/>
              </w:rPr>
              <w:t>Le taux de primipares pénalise</w:t>
            </w:r>
            <w:r w:rsidR="00294D26" w:rsidRPr="00294D26">
              <w:rPr>
                <w:b/>
                <w:color w:val="FF0000"/>
              </w:rPr>
              <w:t xml:space="preserve"> l’expression du potentiel adulte.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tot</w:t>
            </w:r>
            <w:r w:rsidRPr="00B5092F">
              <w:t xml:space="preserve"> L1</w:t>
            </w:r>
          </w:p>
        </w:tc>
        <w:tc>
          <w:tcPr>
            <w:tcW w:w="2303" w:type="dxa"/>
            <w:vAlign w:val="center"/>
          </w:tcPr>
          <w:p w:rsidR="00294D26" w:rsidRPr="008E3268" w:rsidRDefault="00294D26" w:rsidP="00294D26">
            <w:pPr>
              <w:jc w:val="center"/>
              <w:rPr>
                <w:color w:val="0000FF"/>
              </w:rPr>
            </w:pPr>
            <w:r w:rsidRPr="008E3268">
              <w:rPr>
                <w:color w:val="0000FF"/>
              </w:rPr>
              <w:t xml:space="preserve"> 8400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7643</w:t>
            </w:r>
          </w:p>
        </w:tc>
        <w:tc>
          <w:tcPr>
            <w:tcW w:w="8367" w:type="dxa"/>
            <w:vAlign w:val="center"/>
          </w:tcPr>
          <w:p w:rsidR="00294D26" w:rsidRPr="00294D26" w:rsidRDefault="00294D26" w:rsidP="00294D26">
            <w:pPr>
              <w:rPr>
                <w:b/>
              </w:rPr>
            </w:pPr>
            <w:r w:rsidRPr="00294D26">
              <w:rPr>
                <w:b/>
                <w:color w:val="FF0000"/>
              </w:rPr>
              <w:t>Les primipares connaissent des difficultés.</w:t>
            </w:r>
          </w:p>
        </w:tc>
      </w:tr>
      <w:tr w:rsidR="00294D26" w:rsidRPr="00B5092F" w:rsidTr="00294D26">
        <w:trPr>
          <w:trHeight w:val="537"/>
        </w:trPr>
        <w:tc>
          <w:tcPr>
            <w:tcW w:w="2303" w:type="dxa"/>
            <w:vAlign w:val="center"/>
          </w:tcPr>
          <w:p w:rsidR="00294D26" w:rsidRPr="00B5092F" w:rsidRDefault="00294D26" w:rsidP="00294D26">
            <w:pPr>
              <w:jc w:val="center"/>
            </w:pPr>
            <w:r w:rsidRPr="00B5092F">
              <w:t>PL</w:t>
            </w:r>
            <w:r w:rsidRPr="00B5092F">
              <w:rPr>
                <w:vertAlign w:val="subscript"/>
              </w:rPr>
              <w:t>max</w:t>
            </w:r>
            <w:r w:rsidRPr="00B5092F">
              <w:t xml:space="preserve"> L1</w:t>
            </w:r>
          </w:p>
        </w:tc>
        <w:tc>
          <w:tcPr>
            <w:tcW w:w="2303" w:type="dxa"/>
            <w:vAlign w:val="center"/>
          </w:tcPr>
          <w:p w:rsidR="00294D26" w:rsidRPr="008E3268" w:rsidRDefault="00294D26" w:rsidP="00294D26">
            <w:pPr>
              <w:jc w:val="center"/>
              <w:rPr>
                <w:color w:val="0000FF"/>
              </w:rPr>
            </w:pPr>
            <w:r w:rsidRPr="008E3268">
              <w:rPr>
                <w:color w:val="0000FF"/>
              </w:rPr>
              <w:t>42</w:t>
            </w:r>
          </w:p>
        </w:tc>
        <w:tc>
          <w:tcPr>
            <w:tcW w:w="2303" w:type="dxa"/>
            <w:vAlign w:val="center"/>
          </w:tcPr>
          <w:p w:rsidR="00294D26" w:rsidRPr="00F30537" w:rsidRDefault="00294D26" w:rsidP="00294D2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28.4</w:t>
            </w:r>
          </w:p>
        </w:tc>
        <w:tc>
          <w:tcPr>
            <w:tcW w:w="8367" w:type="dxa"/>
            <w:vAlign w:val="center"/>
          </w:tcPr>
          <w:p w:rsidR="00294D26" w:rsidRPr="00294D26" w:rsidRDefault="00294D26" w:rsidP="00294D26">
            <w:pPr>
              <w:rPr>
                <w:b/>
              </w:rPr>
            </w:pPr>
            <w:r w:rsidRPr="00294D26">
              <w:rPr>
                <w:b/>
                <w:color w:val="FF0000"/>
              </w:rPr>
              <w:t>PL</w:t>
            </w:r>
            <w:r w:rsidRPr="00294D26">
              <w:rPr>
                <w:b/>
                <w:color w:val="FF0000"/>
                <w:vertAlign w:val="subscript"/>
              </w:rPr>
              <w:t>max</w:t>
            </w:r>
            <w:r w:rsidRPr="00294D26">
              <w:rPr>
                <w:b/>
                <w:color w:val="FF0000"/>
              </w:rPr>
              <w:t xml:space="preserve"> est très inférieure aux attentes. De nombreuses primipares ont une morphologie inadéquate.</w:t>
            </w:r>
            <w:r w:rsidR="00E3492F">
              <w:rPr>
                <w:b/>
                <w:color w:val="FF0000"/>
              </w:rPr>
              <w:t xml:space="preserve"> Leur très jeune âge à la </w:t>
            </w:r>
            <w:r w:rsidR="003F2D5F">
              <w:rPr>
                <w:b/>
                <w:color w:val="FF0000"/>
              </w:rPr>
              <w:t>1</w:t>
            </w:r>
            <w:r w:rsidR="003F2D5F" w:rsidRPr="003F2D5F">
              <w:rPr>
                <w:b/>
                <w:color w:val="FF0000"/>
                <w:vertAlign w:val="superscript"/>
              </w:rPr>
              <w:t>ère</w:t>
            </w:r>
            <w:r w:rsidR="003F2D5F">
              <w:rPr>
                <w:b/>
                <w:color w:val="FF0000"/>
              </w:rPr>
              <w:t xml:space="preserve"> </w:t>
            </w:r>
            <w:r w:rsidR="00E3492F">
              <w:rPr>
                <w:b/>
                <w:color w:val="FF0000"/>
              </w:rPr>
              <w:t>mise bas semble être inadéquat (2a3m &lt; 2a9m).</w:t>
            </w:r>
          </w:p>
        </w:tc>
      </w:tr>
    </w:tbl>
    <w:p w:rsidR="003A6FD6" w:rsidRDefault="003A6FD6" w:rsidP="00496E2B">
      <w:bookmarkStart w:id="0" w:name="_GoBack"/>
      <w:bookmarkEnd w:id="0"/>
    </w:p>
    <w:sectPr w:rsidR="003A6FD6" w:rsidSect="00496E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38D6"/>
    <w:multiLevelType w:val="hybridMultilevel"/>
    <w:tmpl w:val="6D8E7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2F"/>
    <w:rsid w:val="00085B71"/>
    <w:rsid w:val="001F5C8A"/>
    <w:rsid w:val="00294D26"/>
    <w:rsid w:val="003A6FD6"/>
    <w:rsid w:val="003F2D5F"/>
    <w:rsid w:val="00427EF7"/>
    <w:rsid w:val="00496E2B"/>
    <w:rsid w:val="005C563D"/>
    <w:rsid w:val="00685AD4"/>
    <w:rsid w:val="007B79C4"/>
    <w:rsid w:val="008E3268"/>
    <w:rsid w:val="009F6D1E"/>
    <w:rsid w:val="00B5092F"/>
    <w:rsid w:val="00C67D86"/>
    <w:rsid w:val="00D53D33"/>
    <w:rsid w:val="00E3492F"/>
    <w:rsid w:val="00E94402"/>
    <w:rsid w:val="00EB6D48"/>
    <w:rsid w:val="00F30537"/>
    <w:rsid w:val="00F95478"/>
    <w:rsid w:val="00FB5D4B"/>
    <w:rsid w:val="00F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6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LETORT</dc:creator>
  <cp:lastModifiedBy>Anthony LETORT</cp:lastModifiedBy>
  <cp:revision>20</cp:revision>
  <dcterms:created xsi:type="dcterms:W3CDTF">2014-04-01T15:32:00Z</dcterms:created>
  <dcterms:modified xsi:type="dcterms:W3CDTF">2014-04-01T19:35:00Z</dcterms:modified>
</cp:coreProperties>
</file>