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AQSE valutazione scientifica ed efficacia del modello</w:t>
      </w:r>
    </w:p>
    <w:p>
      <w:pPr>
        <w:pStyle w:val="Subtitle"/>
      </w:pPr>
      <w:r>
        <w:t>Sintesi delle evidenze congelate e della campagna osservazionale locale</w:t>
      </w:r>
    </w:p>
    <w:p>
      <w:pPr>
        <w:spacing w:after="320"/>
      </w:pPr>
      <w:r>
        <w:rPr>
          <w:b/>
        </w:rPr>
        <w:t>Data di valutazione: 11 settembre 2026</w:t>
        <w:br/>
      </w:r>
      <w:r>
        <w:t>Ambito: dimostratore locale AQSE, simulazione esatta e osservazioni sintetiche</w:t>
        <w:br/>
      </w:r>
      <w:r>
        <w:t>Stato scientifico: ricerca, non validato per impiego sul campo</w:t>
      </w:r>
    </w:p>
    <w:p>
      <w:pPr>
        <w:spacing w:before="40" w:after="80"/>
        <w:jc w:val="left"/>
      </w:pPr>
      <w:r>
        <w:rPr>
          <w:b/>
          <w:color w:val="4F6228"/>
          <w:sz w:val="18"/>
        </w:rPr>
        <w:t>CONCLUSIONE PRINCIPALE</w:t>
      </w:r>
    </w:p>
    <w:p>
      <w:r>
        <w:rPr>
          <w:b/>
        </w:rPr>
        <w:t>Il banco di prova è scientificamente auditabile e tecnicamente funzionante, ma non dimostra un vantaggio quantistico né una validità esterna del modello.</w:t>
      </w:r>
      <w:r>
        <w:t xml:space="preserve"> Le metriche held-out del percorso end-to-end indicano efficacia moderata per il task di rete e insufficiente per il task locale. Il percorso quantum-AFSE ha ottenuto risultati peggiori del baseline raw State8 sul TEST, con intervalli di confidenza che includono lo zero. Le 56 osservazioni oggi presenti nel registro, incluse le 25 repliche controllate appena raccolte, non hanno ancora label umane: documentano ripetibilità operativa e qualità dell'acquisizione, ma non possono produrre accuratezza, sensibilità o specificità.</w:t>
      </w:r>
    </w:p>
    <w:p>
      <w:pPr>
        <w:pStyle w:val="Heading1"/>
      </w:pPr>
      <w:r>
        <w:t>1 Evidenze considerate</w:t>
      </w:r>
    </w:p>
    <w:p>
      <w:r>
        <w:t>Il giudizio usa tre livelli di evidenza che non devono essere confusi. Le valutazioni congelate 1D.4a e 1D.4b misurano comparatori su partizioni predefinite. Il dimostratore end-to-end misura i task locali e di rete con bundle congelati. La campagna interattiva più recente aggiunge osservazioni operative ma non ancora outcome supervisionati.</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800"/>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8"/>
              </w:rPr>
              <w:t>Livello</w:t>
            </w:r>
          </w:p>
        </w:tc>
        <w:tc>
          <w:tcPr>
            <w:tcW w:type="dxa" w:w="208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8"/>
              </w:rPr>
              <w:t>Campione</w:t>
            </w:r>
          </w:p>
        </w:tc>
        <w:tc>
          <w:tcPr>
            <w:tcW w:type="dxa" w:w="3240"/>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8"/>
              </w:rPr>
              <w:t>Cosa dimostra</w:t>
            </w:r>
          </w:p>
        </w:tc>
        <w:tc>
          <w:tcPr>
            <w:tcW w:type="dxa" w:w="302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8"/>
              </w:rPr>
              <w:t>Cosa non dimostra</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sz w:val="17"/>
              </w:rPr>
              <w:t>Benchmark 1D.4</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sz w:val="17"/>
              </w:rPr>
              <w:t>72 TRAIN, 24 VALIDATION, 24 TEST</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sz w:val="17"/>
              </w:rPr>
              <w:t>Confronto controllato di cinque metodi binari</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sz w:val="17"/>
              </w:rPr>
              <w:t>Vantaggio quantistico o validità fisica</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AF2F8"/>
            <w:vAlign w:val="center"/>
          </w:tcPr>
          <w:p>
            <w:pPr>
              <w:spacing w:after="0"/>
              <w:jc w:val="left"/>
            </w:pPr>
            <w:r>
              <w:rPr>
                <w:sz w:val="17"/>
              </w:rPr>
              <w:t>End-to-end v1</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AF2F8"/>
            <w:vAlign w:val="center"/>
          </w:tcPr>
          <w:p>
            <w:pPr>
              <w:spacing w:after="0"/>
              <w:jc w:val="center"/>
            </w:pPr>
            <w:r>
              <w:rPr>
                <w:sz w:val="17"/>
              </w:rPr>
              <w:t>160 episodi; 96/32/32</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AF2F8"/>
            <w:vAlign w:val="center"/>
          </w:tcPr>
          <w:p>
            <w:pPr>
              <w:spacing w:after="0"/>
              <w:jc w:val="center"/>
            </w:pPr>
            <w:r>
              <w:rPr>
                <w:sz w:val="17"/>
              </w:rPr>
              <w:t>Prestazione dei task locale e di rete</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AF2F8"/>
            <w:vAlign w:val="center"/>
          </w:tcPr>
          <w:p>
            <w:pPr>
              <w:spacing w:after="0"/>
              <w:jc w:val="center"/>
            </w:pPr>
            <w:r>
              <w:rPr>
                <w:sz w:val="17"/>
              </w:rPr>
              <w:t>Generalizzazione fuori simulatore</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sz w:val="17"/>
              </w:rPr>
              <w:t>Registro interattivo</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sz w:val="17"/>
              </w:rPr>
              <w:t>56 osservazioni; 0 label</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sz w:val="17"/>
              </w:rPr>
              <w:t>Acquisizione, causalità temporale e sealing operativo</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sz w:val="17"/>
              </w:rPr>
              <w:t>Qualunque metrica predittiva</w:t>
            </w:r>
          </w:p>
        </w:tc>
      </w:tr>
    </w:tbl>
    <w:p>
      <w:pPr>
        <w:spacing w:after="20"/>
      </w:pPr>
    </w:p>
    <w:p>
      <w:pPr>
        <w:pStyle w:val="Heading1"/>
      </w:pPr>
      <w:r>
        <w:t>2 Campagna osservazionale controllata</w:t>
      </w:r>
    </w:p>
    <w:p>
      <w:r>
        <w:t>Le ultime 25 osservazioni sono state raccolte con sei nodi, sensore focale S5, riferimento S1, 100 Hz, blind mode, durata esatta di 32 s e finestra State8 28-32 s. Ogni esecuzione valida ha prodotto una sola cattura observation-only. Tre tentativi fuori tolleranza temporale sono stati scartati prima di analisi e cattura e poi ripetuti con lo stesso seed.</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555"/>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8"/>
              </w:rPr>
              <w:t>Gruppo</w:t>
            </w:r>
          </w:p>
        </w:tc>
        <w:tc>
          <w:tcPr>
            <w:tcW w:type="dxa" w:w="893"/>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8"/>
              </w:rPr>
              <w:t>Repliche</w:t>
            </w:r>
          </w:p>
        </w:tc>
        <w:tc>
          <w:tcPr>
            <w:tcW w:type="dxa" w:w="439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8"/>
              </w:rPr>
              <w:t>Intervento controllato</w:t>
            </w:r>
          </w:p>
        </w:tc>
        <w:tc>
          <w:tcPr>
            <w:tcW w:type="dxa" w:w="194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8"/>
              </w:rPr>
              <w:t>Seed</w:t>
            </w:r>
          </w:p>
        </w:tc>
        <w:tc>
          <w:tcPr>
            <w:tcW w:type="dxa" w:w="122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8"/>
              </w:rPr>
              <w:t>Esito</w:t>
            </w:r>
          </w:p>
        </w:tc>
      </w:tr>
      <w:tr>
        <w:tc>
          <w:tcPr>
            <w:tcW w:type="dxa" w:w="155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sz w:val="17"/>
              </w:rPr>
              <w:t>1 Baseline</w:t>
            </w:r>
          </w:p>
        </w:tc>
        <w:tc>
          <w:tcPr>
            <w:tcW w:type="dxa" w:w="893"/>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sz w:val="17"/>
              </w:rPr>
              <w:t>5</w:t>
            </w:r>
          </w:p>
        </w:tc>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sz w:val="17"/>
              </w:rPr>
              <w:t>Statico, nessun nuovo evento</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sz w:val="17"/>
              </w:rPr>
              <w:t>4101005-4101009</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sz w:val="17"/>
              </w:rPr>
              <w:t>5 VALID</w:t>
            </w:r>
          </w:p>
        </w:tc>
      </w:tr>
      <w:tr>
        <w:tc>
          <w:tcPr>
            <w:tcW w:type="dxa" w:w="155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AF2F8"/>
            <w:vAlign w:val="center"/>
          </w:tcPr>
          <w:p>
            <w:pPr>
              <w:spacing w:after="0"/>
              <w:jc w:val="left"/>
            </w:pPr>
            <w:r>
              <w:rPr>
                <w:sz w:val="17"/>
              </w:rPr>
              <w:t>2 Ambientale</w:t>
            </w:r>
          </w:p>
        </w:tc>
        <w:tc>
          <w:tcPr>
            <w:tcW w:type="dxa" w:w="893"/>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AF2F8"/>
            <w:vAlign w:val="center"/>
          </w:tcPr>
          <w:p>
            <w:pPr>
              <w:spacing w:after="0"/>
              <w:jc w:val="center"/>
            </w:pPr>
            <w:r>
              <w:rPr>
                <w:sz w:val="17"/>
              </w:rPr>
              <w:t>5</w:t>
            </w:r>
          </w:p>
        </w:tc>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AF2F8"/>
            <w:vAlign w:val="center"/>
          </w:tcPr>
          <w:p>
            <w:pPr>
              <w:spacing w:after="0"/>
              <w:jc w:val="center"/>
            </w:pPr>
            <w:r>
              <w:rPr>
                <w:sz w:val="17"/>
              </w:rPr>
              <w:t>Campo comune +100 nT X, 10-40 s</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AF2F8"/>
            <w:vAlign w:val="center"/>
          </w:tcPr>
          <w:p>
            <w:pPr>
              <w:spacing w:after="0"/>
              <w:jc w:val="center"/>
            </w:pPr>
            <w:r>
              <w:rPr>
                <w:sz w:val="17"/>
              </w:rPr>
              <w:t>4201001-4201005</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AF2F8"/>
            <w:vAlign w:val="center"/>
          </w:tcPr>
          <w:p>
            <w:pPr>
              <w:spacing w:after="0"/>
              <w:jc w:val="center"/>
            </w:pPr>
            <w:r>
              <w:rPr>
                <w:sz w:val="17"/>
              </w:rPr>
              <w:t>5 VALID</w:t>
            </w:r>
          </w:p>
        </w:tc>
      </w:tr>
      <w:tr>
        <w:tc>
          <w:tcPr>
            <w:tcW w:type="dxa" w:w="155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sz w:val="17"/>
              </w:rPr>
              <w:t>3 Dispositivo</w:t>
            </w:r>
          </w:p>
        </w:tc>
        <w:tc>
          <w:tcPr>
            <w:tcW w:type="dxa" w:w="893"/>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sz w:val="17"/>
              </w:rPr>
              <w:t>5</w:t>
            </w:r>
          </w:p>
        </w:tc>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sz w:val="17"/>
              </w:rPr>
              <w:t>Bias S5 +100 nT X, 10-40 s</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sz w:val="17"/>
              </w:rPr>
              <w:t>4301001-4301005</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sz w:val="17"/>
              </w:rPr>
              <w:t>5 VALID</w:t>
            </w:r>
          </w:p>
        </w:tc>
      </w:tr>
      <w:tr>
        <w:tc>
          <w:tcPr>
            <w:tcW w:type="dxa" w:w="155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AF2F8"/>
            <w:vAlign w:val="center"/>
          </w:tcPr>
          <w:p>
            <w:pPr>
              <w:spacing w:after="0"/>
              <w:jc w:val="left"/>
            </w:pPr>
            <w:r>
              <w:rPr>
                <w:sz w:val="17"/>
              </w:rPr>
              <w:t>4 Misto</w:t>
            </w:r>
          </w:p>
        </w:tc>
        <w:tc>
          <w:tcPr>
            <w:tcW w:type="dxa" w:w="893"/>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AF2F8"/>
            <w:vAlign w:val="center"/>
          </w:tcPr>
          <w:p>
            <w:pPr>
              <w:spacing w:after="0"/>
              <w:jc w:val="center"/>
            </w:pPr>
            <w:r>
              <w:rPr>
                <w:sz w:val="17"/>
              </w:rPr>
              <w:t>5</w:t>
            </w:r>
          </w:p>
        </w:tc>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AF2F8"/>
            <w:vAlign w:val="center"/>
          </w:tcPr>
          <w:p>
            <w:pPr>
              <w:spacing w:after="0"/>
              <w:jc w:val="center"/>
            </w:pPr>
            <w:r>
              <w:rPr>
                <w:sz w:val="17"/>
              </w:rPr>
              <w:t>Bias S5 +100 nT X e campo comune +100 nT Y</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AF2F8"/>
            <w:vAlign w:val="center"/>
          </w:tcPr>
          <w:p>
            <w:pPr>
              <w:spacing w:after="0"/>
              <w:jc w:val="center"/>
            </w:pPr>
            <w:r>
              <w:rPr>
                <w:sz w:val="17"/>
              </w:rPr>
              <w:t>4401001-4401005</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AF2F8"/>
            <w:vAlign w:val="center"/>
          </w:tcPr>
          <w:p>
            <w:pPr>
              <w:spacing w:after="0"/>
              <w:jc w:val="center"/>
            </w:pPr>
            <w:r>
              <w:rPr>
                <w:sz w:val="17"/>
              </w:rPr>
              <w:t>5 VALID</w:t>
            </w:r>
          </w:p>
        </w:tc>
      </w:tr>
      <w:tr>
        <w:tc>
          <w:tcPr>
            <w:tcW w:type="dxa" w:w="155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sz w:val="17"/>
              </w:rPr>
              <w:t>5 Robustezza</w:t>
            </w:r>
          </w:p>
        </w:tc>
        <w:tc>
          <w:tcPr>
            <w:tcW w:type="dxa" w:w="893"/>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sz w:val="17"/>
              </w:rPr>
              <w:t>5</w:t>
            </w:r>
          </w:p>
        </w:tc>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sz w:val="17"/>
              </w:rPr>
              <w:t>Rumore locale S5 10x, 10-40 s</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sz w:val="17"/>
              </w:rPr>
              <w:t>4501001-4501005</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sz w:val="17"/>
              </w:rPr>
              <w:t>5 VALID</w:t>
            </w:r>
          </w:p>
        </w:tc>
      </w:tr>
    </w:tbl>
    <w:p>
      <w:pPr>
        <w:spacing w:after="20"/>
      </w:pPr>
    </w:p>
    <w:p>
      <w:r>
        <w:t>Interpretazione. Il tasso di completamento delle repliche ammesse è 25/25 e conferma che il flusso sensore-State8-registro opera in modo ripetibile nelle condizioni provate. Non è un tasso di accuratezza. Poiché le label umane restano 0, non è possibile costruire confusion matrix, balanced accuracy, macro-F1, recall, precision, calibrazione o curve ROC su questa campagna. Le classi previste dal protocollo sono ipotesi di revisione, non etichette già acquisite.</w:t>
      </w:r>
    </w:p>
    <w:p>
      <w:pPr>
        <w:pStyle w:val="Heading1"/>
      </w:pPr>
      <w:r>
        <w:t>3 Selezione su TRAIN e VALIDATION</w:t>
      </w:r>
    </w:p>
    <w:p>
      <w:r>
        <w:t>Il protocollo 1D.4a ha valutato 355 candidati senza modificare il budget dopo l'accesso a VALIDATION. La tabella mostra il miglior risultato congelato per famiglia. BA indica balanced accuracy.</w:t>
      </w:r>
    </w:p>
    <w:tbl>
      <w:tblPr>
        <w:tblW w:type="auto" w:w="0"/>
        <w:jc w:val="center"/>
        <w:tblLayout w:type="fixed"/>
        <w:tblLook w:firstColumn="1" w:firstRow="1" w:lastColumn="0" w:lastRow="0" w:noHBand="0" w:noVBand="1" w:val="04A0"/>
      </w:tblPr>
      <w:tblGrid>
        <w:gridCol w:w="1694"/>
        <w:gridCol w:w="1694"/>
        <w:gridCol w:w="1694"/>
        <w:gridCol w:w="1694"/>
        <w:gridCol w:w="1694"/>
        <w:gridCol w:w="1694"/>
      </w:tblGrid>
      <w:tr>
        <w:trPr>
          <w:tblHeader w:val="true"/>
        </w:trPr>
        <w:tc>
          <w:tcPr>
            <w:tcW w:type="dxa" w:w="2045"/>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8"/>
              </w:rPr>
              <w:t>Metodo</w:t>
            </w:r>
          </w:p>
        </w:tc>
        <w:tc>
          <w:tcPr>
            <w:tcW w:type="dxa" w:w="1123"/>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8"/>
              </w:rPr>
              <w:t>TRAIN BA</w:t>
            </w:r>
          </w:p>
        </w:tc>
        <w:tc>
          <w:tcPr>
            <w:tcW w:type="dxa" w:w="151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8"/>
              </w:rPr>
              <w:t>VALIDATION BA</w:t>
            </w:r>
          </w:p>
        </w:tc>
        <w:tc>
          <w:tcPr>
            <w:tcW w:type="dxa" w:w="151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8"/>
              </w:rPr>
              <w:t>95 percent CI</w:t>
            </w:r>
          </w:p>
        </w:tc>
        <w:tc>
          <w:tcPr>
            <w:tcW w:type="dxa" w:w="1296"/>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8"/>
              </w:rPr>
              <w:t>Macro-F1</w:t>
            </w:r>
          </w:p>
        </w:tc>
        <w:tc>
          <w:tcPr>
            <w:tcW w:type="dxa" w:w="2376"/>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8"/>
              </w:rPr>
              <w:t>Nota</w:t>
            </w:r>
          </w:p>
        </w:tc>
      </w:tr>
      <w:tr>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sz w:val="17"/>
              </w:rPr>
              <w:t>SNR threshold</w:t>
            </w:r>
          </w:p>
        </w:tc>
        <w:tc>
          <w:tcPr>
            <w:tcW w:type="dxa" w:w="1123"/>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sz w:val="17"/>
              </w:rPr>
              <w:t>1.000</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sz w:val="17"/>
              </w:rPr>
              <w:t>1.000</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sz w:val="17"/>
              </w:rPr>
              <w:t>1.000-1.000</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sz w:val="17"/>
              </w:rPr>
              <w:t>1.000</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sz w:val="17"/>
              </w:rPr>
              <w:t>Separazione perfetta</w:t>
            </w:r>
          </w:p>
        </w:tc>
      </w:tr>
      <w:tr>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AF2F8"/>
            <w:vAlign w:val="center"/>
          </w:tcPr>
          <w:p>
            <w:pPr>
              <w:spacing w:after="0"/>
              <w:jc w:val="left"/>
            </w:pPr>
            <w:r>
              <w:rPr>
                <w:sz w:val="17"/>
              </w:rPr>
              <w:t>RBF-SVC</w:t>
            </w:r>
          </w:p>
        </w:tc>
        <w:tc>
          <w:tcPr>
            <w:tcW w:type="dxa" w:w="1123"/>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AF2F8"/>
            <w:vAlign w:val="center"/>
          </w:tcPr>
          <w:p>
            <w:pPr>
              <w:spacing w:after="0"/>
              <w:jc w:val="center"/>
            </w:pPr>
            <w:r>
              <w:rPr>
                <w:sz w:val="17"/>
              </w:rPr>
              <w:t>0.969</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AF2F8"/>
            <w:vAlign w:val="center"/>
          </w:tcPr>
          <w:p>
            <w:pPr>
              <w:spacing w:after="0"/>
              <w:jc w:val="center"/>
            </w:pPr>
            <w:r>
              <w:rPr>
                <w:sz w:val="17"/>
              </w:rPr>
              <w:t>0.875</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AF2F8"/>
            <w:vAlign w:val="center"/>
          </w:tcPr>
          <w:p>
            <w:pPr>
              <w:spacing w:after="0"/>
              <w:jc w:val="center"/>
            </w:pPr>
            <w:r>
              <w:rPr>
                <w:sz w:val="17"/>
              </w:rPr>
              <w:t>0.750-1.000</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AF2F8"/>
            <w:vAlign w:val="center"/>
          </w:tcPr>
          <w:p>
            <w:pPr>
              <w:spacing w:after="0"/>
              <w:jc w:val="center"/>
            </w:pPr>
            <w:r>
              <w:rPr>
                <w:sz w:val="17"/>
              </w:rPr>
              <w:t>0.873</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AF2F8"/>
            <w:vAlign w:val="center"/>
          </w:tcPr>
          <w:p>
            <w:pPr>
              <w:spacing w:after="0"/>
              <w:jc w:val="center"/>
            </w:pPr>
            <w:r>
              <w:rPr>
                <w:sz w:val="17"/>
              </w:rPr>
              <w:t>3 falsi negativi</w:t>
            </w:r>
          </w:p>
        </w:tc>
      </w:tr>
      <w:tr>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sz w:val="17"/>
              </w:rPr>
              <w:t>Fixed-theta TQK</w:t>
            </w:r>
          </w:p>
        </w:tc>
        <w:tc>
          <w:tcPr>
            <w:tcW w:type="dxa" w:w="1123"/>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sz w:val="17"/>
              </w:rPr>
              <w:t>1.000</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sz w:val="17"/>
              </w:rPr>
              <w:t>0.958</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sz w:val="17"/>
              </w:rPr>
              <w:t>0.875-1.000</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sz w:val="17"/>
              </w:rPr>
              <w:t>0.958</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sz w:val="17"/>
              </w:rPr>
              <w:t>Checkpoint 0</w:t>
            </w:r>
          </w:p>
        </w:tc>
      </w:tr>
      <w:tr>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AF2F8"/>
            <w:vAlign w:val="center"/>
          </w:tcPr>
          <w:p>
            <w:pPr>
              <w:spacing w:after="0"/>
              <w:jc w:val="left"/>
            </w:pPr>
            <w:r>
              <w:rPr>
                <w:sz w:val="17"/>
              </w:rPr>
              <w:t>Gradient TQK</w:t>
            </w:r>
          </w:p>
        </w:tc>
        <w:tc>
          <w:tcPr>
            <w:tcW w:type="dxa" w:w="1123"/>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AF2F8"/>
            <w:vAlign w:val="center"/>
          </w:tcPr>
          <w:p>
            <w:pPr>
              <w:spacing w:after="0"/>
              <w:jc w:val="center"/>
            </w:pPr>
            <w:r>
              <w:rPr>
                <w:sz w:val="17"/>
              </w:rPr>
              <w:t>1.000</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AF2F8"/>
            <w:vAlign w:val="center"/>
          </w:tcPr>
          <w:p>
            <w:pPr>
              <w:spacing w:after="0"/>
              <w:jc w:val="center"/>
            </w:pPr>
            <w:r>
              <w:rPr>
                <w:sz w:val="17"/>
              </w:rPr>
              <w:t>0.958</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AF2F8"/>
            <w:vAlign w:val="center"/>
          </w:tcPr>
          <w:p>
            <w:pPr>
              <w:spacing w:after="0"/>
              <w:jc w:val="center"/>
            </w:pPr>
            <w:r>
              <w:rPr>
                <w:sz w:val="17"/>
              </w:rPr>
              <w:t>0.875-1.000</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AF2F8"/>
            <w:vAlign w:val="center"/>
          </w:tcPr>
          <w:p>
            <w:pPr>
              <w:spacing w:after="0"/>
              <w:jc w:val="center"/>
            </w:pPr>
            <w:r>
              <w:rPr>
                <w:sz w:val="17"/>
              </w:rPr>
              <w:t>0.958</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AF2F8"/>
            <w:vAlign w:val="center"/>
          </w:tcPr>
          <w:p>
            <w:pPr>
              <w:spacing w:after="0"/>
              <w:jc w:val="center"/>
            </w:pPr>
            <w:r>
              <w:rPr>
                <w:sz w:val="17"/>
              </w:rPr>
              <w:t>Nessun guadagno</w:t>
            </w:r>
          </w:p>
        </w:tc>
      </w:tr>
      <w:tr>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sz w:val="17"/>
              </w:rPr>
              <w:t>QNG TQK</w:t>
            </w:r>
          </w:p>
        </w:tc>
        <w:tc>
          <w:tcPr>
            <w:tcW w:type="dxa" w:w="1123"/>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sz w:val="17"/>
              </w:rPr>
              <w:t>1.000</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sz w:val="17"/>
              </w:rPr>
              <w:t>0.958</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sz w:val="17"/>
              </w:rPr>
              <w:t>0.875-1.000</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sz w:val="17"/>
              </w:rPr>
              <w:t>0.958</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sz w:val="17"/>
              </w:rPr>
              <w:t>Nessun guadagno</w:t>
            </w:r>
          </w:p>
        </w:tc>
      </w:tr>
    </w:tbl>
    <w:p>
      <w:pPr>
        <w:spacing w:after="20"/>
      </w:pPr>
    </w:p>
    <w:p>
      <w:r>
        <w:t>Il risultato VALIDATION è forte, ma contiene già un segnale di cautela: la soglia SNR, estremamente semplice, separa perfettamente il dataset. Inoltre fixed theta, gradient descent e QNG hanno la stessa balanced accuracy a ogni checkpoint e la regola predefinita sceglie il checkpoint 0. Questi dati non mostrano che l'ottimizzazione quantistica abbia migliorato la rappresentazione.</w:t>
      </w:r>
    </w:p>
    <w:p>
      <w:pPr>
        <w:pStyle w:val="Heading1"/>
      </w:pPr>
      <w:r>
        <w:t>4 Valutazione held-out del benchmark binario</w:t>
      </w:r>
    </w:p>
    <w:p>
      <w:r>
        <w:t>Il TEST 1D.4b è stato aperto una sola volta dopo il model-selection freeze. La coorte comune contiene 24 lineage generative indipendenti e nessuna astensione.</w:t>
      </w:r>
    </w:p>
    <w:tbl>
      <w:tblPr>
        <w:tblW w:type="auto" w:w="0"/>
        <w:jc w:val="center"/>
        <w:tblLayout w:type="fixed"/>
        <w:tblLook w:firstColumn="1" w:firstRow="1" w:lastColumn="0" w:lastRow="0" w:noHBand="0" w:noVBand="1" w:val="04A0"/>
      </w:tblPr>
      <w:tblGrid>
        <w:gridCol w:w="1694"/>
        <w:gridCol w:w="1694"/>
        <w:gridCol w:w="1694"/>
        <w:gridCol w:w="1694"/>
        <w:gridCol w:w="1694"/>
        <w:gridCol w:w="1694"/>
      </w:tblGrid>
      <w:tr>
        <w:trPr>
          <w:tblHeader w:val="true"/>
        </w:trPr>
        <w:tc>
          <w:tcPr>
            <w:tcW w:type="dxa" w:w="2045"/>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8"/>
              </w:rPr>
              <w:t>Metodo</w:t>
            </w:r>
          </w:p>
        </w:tc>
        <w:tc>
          <w:tcPr>
            <w:tcW w:type="dxa" w:w="1296"/>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8"/>
              </w:rPr>
              <w:t>TEST BA</w:t>
            </w:r>
          </w:p>
        </w:tc>
        <w:tc>
          <w:tcPr>
            <w:tcW w:type="dxa" w:w="1699"/>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8"/>
              </w:rPr>
              <w:t>95 percent CI</w:t>
            </w:r>
          </w:p>
        </w:tc>
        <w:tc>
          <w:tcPr>
            <w:tcW w:type="dxa" w:w="1440"/>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8"/>
              </w:rPr>
              <w:t>Macro-F1</w:t>
            </w:r>
          </w:p>
        </w:tc>
        <w:tc>
          <w:tcPr>
            <w:tcW w:type="dxa" w:w="1037"/>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8"/>
              </w:rPr>
              <w:t>AUC</w:t>
            </w:r>
          </w:p>
        </w:tc>
        <w:tc>
          <w:tcPr>
            <w:tcW w:type="dxa" w:w="151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8"/>
              </w:rPr>
              <w:t>Runtime ms</w:t>
            </w:r>
          </w:p>
        </w:tc>
      </w:tr>
      <w:tr>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sz w:val="17"/>
              </w:rPr>
              <w:t>SNR threshold</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sz w:val="17"/>
              </w:rPr>
              <w:t>0.958</w:t>
            </w:r>
          </w:p>
        </w:tc>
        <w:tc>
          <w:tcPr>
            <w:tcW w:type="dxa" w:w="169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sz w:val="17"/>
              </w:rPr>
              <w:t>0.875-1.000</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sz w:val="17"/>
              </w:rPr>
              <w:t>0.958</w:t>
            </w:r>
          </w:p>
        </w:tc>
        <w:tc>
          <w:tcPr>
            <w:tcW w:type="dxa" w:w="103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sz w:val="17"/>
              </w:rPr>
              <w:t>0.993</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sz w:val="17"/>
              </w:rPr>
              <w:t>1931.5</w:t>
            </w:r>
          </w:p>
        </w:tc>
      </w:tr>
      <w:tr>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AF2F8"/>
            <w:vAlign w:val="center"/>
          </w:tcPr>
          <w:p>
            <w:pPr>
              <w:spacing w:after="0"/>
              <w:jc w:val="left"/>
            </w:pPr>
            <w:r>
              <w:rPr>
                <w:sz w:val="17"/>
              </w:rPr>
              <w:t>RBF-SVC</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AF2F8"/>
            <w:vAlign w:val="center"/>
          </w:tcPr>
          <w:p>
            <w:pPr>
              <w:spacing w:after="0"/>
              <w:jc w:val="center"/>
            </w:pPr>
            <w:r>
              <w:rPr>
                <w:sz w:val="17"/>
              </w:rPr>
              <w:t>0.833</w:t>
            </w:r>
          </w:p>
        </w:tc>
        <w:tc>
          <w:tcPr>
            <w:tcW w:type="dxa" w:w="169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AF2F8"/>
            <w:vAlign w:val="center"/>
          </w:tcPr>
          <w:p>
            <w:pPr>
              <w:spacing w:after="0"/>
              <w:jc w:val="center"/>
            </w:pPr>
            <w:r>
              <w:rPr>
                <w:sz w:val="17"/>
              </w:rPr>
              <w:t>0.667-0.958</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AF2F8"/>
            <w:vAlign w:val="center"/>
          </w:tcPr>
          <w:p>
            <w:pPr>
              <w:spacing w:after="0"/>
              <w:jc w:val="center"/>
            </w:pPr>
            <w:r>
              <w:rPr>
                <w:sz w:val="17"/>
              </w:rPr>
              <w:t>0.833</w:t>
            </w:r>
          </w:p>
        </w:tc>
        <w:tc>
          <w:tcPr>
            <w:tcW w:type="dxa" w:w="103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AF2F8"/>
            <w:vAlign w:val="center"/>
          </w:tcPr>
          <w:p>
            <w:pPr>
              <w:spacing w:after="0"/>
              <w:jc w:val="center"/>
            </w:pPr>
            <w:r>
              <w:rPr>
                <w:sz w:val="17"/>
              </w:rPr>
              <w:t>0.931</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AF2F8"/>
            <w:vAlign w:val="center"/>
          </w:tcPr>
          <w:p>
            <w:pPr>
              <w:spacing w:after="0"/>
              <w:jc w:val="center"/>
            </w:pPr>
            <w:r>
              <w:rPr>
                <w:sz w:val="17"/>
              </w:rPr>
              <w:t>1867.9</w:t>
            </w:r>
          </w:p>
        </w:tc>
      </w:tr>
      <w:tr>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sz w:val="17"/>
              </w:rPr>
              <w:t>Fixed-theta TQK</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sz w:val="17"/>
              </w:rPr>
              <w:t>1.000</w:t>
            </w:r>
          </w:p>
        </w:tc>
        <w:tc>
          <w:tcPr>
            <w:tcW w:type="dxa" w:w="169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sz w:val="17"/>
              </w:rPr>
              <w:t>1.000-1.000</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sz w:val="17"/>
              </w:rPr>
              <w:t>1.000</w:t>
            </w:r>
          </w:p>
        </w:tc>
        <w:tc>
          <w:tcPr>
            <w:tcW w:type="dxa" w:w="103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sz w:val="17"/>
              </w:rPr>
              <w:t>1.000</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sz w:val="17"/>
              </w:rPr>
              <w:t>1930.6</w:t>
            </w:r>
          </w:p>
        </w:tc>
      </w:tr>
      <w:tr>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AF2F8"/>
            <w:vAlign w:val="center"/>
          </w:tcPr>
          <w:p>
            <w:pPr>
              <w:spacing w:after="0"/>
              <w:jc w:val="left"/>
            </w:pPr>
            <w:r>
              <w:rPr>
                <w:sz w:val="17"/>
              </w:rPr>
              <w:t>Gradient TQK</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AF2F8"/>
            <w:vAlign w:val="center"/>
          </w:tcPr>
          <w:p>
            <w:pPr>
              <w:spacing w:after="0"/>
              <w:jc w:val="center"/>
            </w:pPr>
            <w:r>
              <w:rPr>
                <w:sz w:val="17"/>
              </w:rPr>
              <w:t>1.000</w:t>
            </w:r>
          </w:p>
        </w:tc>
        <w:tc>
          <w:tcPr>
            <w:tcW w:type="dxa" w:w="169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AF2F8"/>
            <w:vAlign w:val="center"/>
          </w:tcPr>
          <w:p>
            <w:pPr>
              <w:spacing w:after="0"/>
              <w:jc w:val="center"/>
            </w:pPr>
            <w:r>
              <w:rPr>
                <w:sz w:val="17"/>
              </w:rPr>
              <w:t>1.000-1.000</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AF2F8"/>
            <w:vAlign w:val="center"/>
          </w:tcPr>
          <w:p>
            <w:pPr>
              <w:spacing w:after="0"/>
              <w:jc w:val="center"/>
            </w:pPr>
            <w:r>
              <w:rPr>
                <w:sz w:val="17"/>
              </w:rPr>
              <w:t>1.000</w:t>
            </w:r>
          </w:p>
        </w:tc>
        <w:tc>
          <w:tcPr>
            <w:tcW w:type="dxa" w:w="103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AF2F8"/>
            <w:vAlign w:val="center"/>
          </w:tcPr>
          <w:p>
            <w:pPr>
              <w:spacing w:after="0"/>
              <w:jc w:val="center"/>
            </w:pPr>
            <w:r>
              <w:rPr>
                <w:sz w:val="17"/>
              </w:rPr>
              <w:t>1.000</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AF2F8"/>
            <w:vAlign w:val="center"/>
          </w:tcPr>
          <w:p>
            <w:pPr>
              <w:spacing w:after="0"/>
              <w:jc w:val="center"/>
            </w:pPr>
            <w:r>
              <w:rPr>
                <w:sz w:val="17"/>
              </w:rPr>
              <w:t>1950.9</w:t>
            </w:r>
          </w:p>
        </w:tc>
      </w:tr>
      <w:tr>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sz w:val="17"/>
              </w:rPr>
              <w:t>QNG TQK</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sz w:val="17"/>
              </w:rPr>
              <w:t>1.000</w:t>
            </w:r>
          </w:p>
        </w:tc>
        <w:tc>
          <w:tcPr>
            <w:tcW w:type="dxa" w:w="169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sz w:val="17"/>
              </w:rPr>
              <w:t>1.000-1.000</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sz w:val="17"/>
              </w:rPr>
              <w:t>1.000</w:t>
            </w:r>
          </w:p>
        </w:tc>
        <w:tc>
          <w:tcPr>
            <w:tcW w:type="dxa" w:w="103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sz w:val="17"/>
              </w:rPr>
              <w:t>1.000</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sz w:val="17"/>
              </w:rPr>
              <w:t>1878.9</w:t>
            </w:r>
          </w:p>
        </w:tc>
      </w:tr>
    </w:tbl>
    <w:p>
      <w:pPr>
        <w:spacing w:after="20"/>
      </w:pPr>
    </w:p>
    <w:p>
      <w:r>
        <w:t>Questo benchmark dimostra che il TQK congelato può separare perfettamente quel particolare TEST sintetico. Non dimostra quantum advantage: la soglia SNR raggiunge già BA 0.958, il campione è piccolo e i tre metodi quantistici hanno theta, kernel, predizioni e score identici entro la tolleranza congelata. Il runtime è quello di un simulatore statevector locale, non di una QPU e non misura un vantaggio computazionale.</w:t>
      </w:r>
    </w:p>
    <w:p>
      <w:pPr>
        <w:pStyle w:val="Heading1"/>
      </w:pPr>
      <w:r>
        <w:t>5 Efficacia del percorso end-to-end</w:t>
      </w:r>
    </w:p>
    <w:p>
      <w:r>
        <w:t>Il test più informativo per l'efficacia applicativa è il dimostratore end-to-end con classificazione locale e a quattro classi di rete. Qui emerge uno scarto consistente tra VALIDATION e TEST.</w:t>
      </w:r>
    </w:p>
    <w:tbl>
      <w:tblPr>
        <w:tblW w:type="auto" w:w="0"/>
        <w:jc w:val="center"/>
        <w:tblLayout w:type="fixed"/>
        <w:tblLook w:firstColumn="1" w:firstRow="1" w:lastColumn="0" w:lastRow="0" w:noHBand="0" w:noVBand="1" w:val="04A0"/>
      </w:tblPr>
      <w:tblGrid>
        <w:gridCol w:w="1694"/>
        <w:gridCol w:w="1694"/>
        <w:gridCol w:w="1694"/>
        <w:gridCol w:w="1694"/>
        <w:gridCol w:w="1694"/>
        <w:gridCol w:w="1694"/>
      </w:tblGrid>
      <w:tr>
        <w:trPr>
          <w:tblHeader w:val="true"/>
        </w:trPr>
        <w:tc>
          <w:tcPr>
            <w:tcW w:type="dxa" w:w="2333"/>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8"/>
              </w:rPr>
              <w:t>Task e partizione</w:t>
            </w:r>
          </w:p>
        </w:tc>
        <w:tc>
          <w:tcPr>
            <w:tcW w:type="dxa" w:w="79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8"/>
              </w:rPr>
              <w:t>n</w:t>
            </w:r>
          </w:p>
        </w:tc>
        <w:tc>
          <w:tcPr>
            <w:tcW w:type="dxa" w:w="1123"/>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8"/>
              </w:rPr>
              <w:t>BA</w:t>
            </w:r>
          </w:p>
        </w:tc>
        <w:tc>
          <w:tcPr>
            <w:tcW w:type="dxa" w:w="1440"/>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8"/>
              </w:rPr>
              <w:t>Macro-F1</w:t>
            </w:r>
          </w:p>
        </w:tc>
        <w:tc>
          <w:tcPr>
            <w:tcW w:type="dxa" w:w="136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8"/>
              </w:rPr>
              <w:t>Coverage</w:t>
            </w:r>
          </w:p>
        </w:tc>
        <w:tc>
          <w:tcPr>
            <w:tcW w:type="dxa" w:w="3240"/>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8"/>
              </w:rPr>
              <w:t>Recall critico</w:t>
            </w:r>
          </w:p>
        </w:tc>
      </w:tr>
      <w:tr>
        <w:tc>
          <w:tcPr>
            <w:tcW w:type="dxa" w:w="2333"/>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sz w:val="17"/>
              </w:rPr>
              <w:t>Locale VALIDATION</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sz w:val="17"/>
              </w:rPr>
              <w:t>32</w:t>
            </w:r>
          </w:p>
        </w:tc>
        <w:tc>
          <w:tcPr>
            <w:tcW w:type="dxa" w:w="1123"/>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sz w:val="17"/>
              </w:rPr>
              <w:t>0.875</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sz w:val="17"/>
              </w:rPr>
              <w:t>0.845</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sz w:val="17"/>
              </w:rPr>
              <w:t>0.969</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sz w:val="17"/>
              </w:rPr>
              <w:t>NORMAL 0.875</w:t>
            </w:r>
          </w:p>
        </w:tc>
      </w:tr>
      <w:tr>
        <w:tc>
          <w:tcPr>
            <w:tcW w:type="dxa" w:w="2333"/>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AF2F8"/>
            <w:vAlign w:val="center"/>
          </w:tcPr>
          <w:p>
            <w:pPr>
              <w:spacing w:after="0"/>
              <w:jc w:val="left"/>
            </w:pPr>
            <w:r>
              <w:rPr>
                <w:sz w:val="17"/>
              </w:rPr>
              <w:t>Locale TEST</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AF2F8"/>
            <w:vAlign w:val="center"/>
          </w:tcPr>
          <w:p>
            <w:pPr>
              <w:spacing w:after="0"/>
              <w:jc w:val="center"/>
            </w:pPr>
            <w:r>
              <w:rPr>
                <w:sz w:val="17"/>
              </w:rPr>
              <w:t>32</w:t>
            </w:r>
          </w:p>
        </w:tc>
        <w:tc>
          <w:tcPr>
            <w:tcW w:type="dxa" w:w="1123"/>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AF2F8"/>
            <w:vAlign w:val="center"/>
          </w:tcPr>
          <w:p>
            <w:pPr>
              <w:spacing w:after="0"/>
              <w:jc w:val="center"/>
            </w:pPr>
            <w:r>
              <w:rPr>
                <w:sz w:val="17"/>
              </w:rPr>
              <w:t>0.583</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AF2F8"/>
            <w:vAlign w:val="center"/>
          </w:tcPr>
          <w:p>
            <w:pPr>
              <w:spacing w:after="0"/>
              <w:jc w:val="center"/>
            </w:pPr>
            <w:r>
              <w:rPr>
                <w:sz w:val="17"/>
              </w:rPr>
              <w:t>0.590</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AF2F8"/>
            <w:vAlign w:val="center"/>
          </w:tcPr>
          <w:p>
            <w:pPr>
              <w:spacing w:after="0"/>
              <w:jc w:val="center"/>
            </w:pPr>
            <w:r>
              <w:rPr>
                <w:sz w:val="17"/>
              </w:rPr>
              <w:t>1.000</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AF2F8"/>
            <w:vAlign w:val="center"/>
          </w:tcPr>
          <w:p>
            <w:pPr>
              <w:spacing w:after="0"/>
              <w:jc w:val="center"/>
            </w:pPr>
            <w:r>
              <w:rPr>
                <w:sz w:val="17"/>
              </w:rPr>
              <w:t>NORMAL 0.250</w:t>
            </w:r>
          </w:p>
        </w:tc>
      </w:tr>
      <w:tr>
        <w:tc>
          <w:tcPr>
            <w:tcW w:type="dxa" w:w="2333"/>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sz w:val="17"/>
              </w:rPr>
              <w:t>Rete VALIDATION</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sz w:val="17"/>
              </w:rPr>
              <w:t>24</w:t>
            </w:r>
          </w:p>
        </w:tc>
        <w:tc>
          <w:tcPr>
            <w:tcW w:type="dxa" w:w="1123"/>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sz w:val="17"/>
              </w:rPr>
              <w:t>0.917</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sz w:val="17"/>
              </w:rPr>
              <w:t>0.914</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sz w:val="17"/>
              </w:rPr>
              <w:t>0.917</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sz w:val="17"/>
              </w:rPr>
              <w:t>ENV 0.667</w:t>
            </w:r>
          </w:p>
        </w:tc>
      </w:tr>
      <w:tr>
        <w:tc>
          <w:tcPr>
            <w:tcW w:type="dxa" w:w="2333"/>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AF2F8"/>
            <w:vAlign w:val="center"/>
          </w:tcPr>
          <w:p>
            <w:pPr>
              <w:spacing w:after="0"/>
              <w:jc w:val="left"/>
            </w:pPr>
            <w:r>
              <w:rPr>
                <w:sz w:val="17"/>
              </w:rPr>
              <w:t>Rete TEST</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AF2F8"/>
            <w:vAlign w:val="center"/>
          </w:tcPr>
          <w:p>
            <w:pPr>
              <w:spacing w:after="0"/>
              <w:jc w:val="center"/>
            </w:pPr>
            <w:r>
              <w:rPr>
                <w:sz w:val="17"/>
              </w:rPr>
              <w:t>24</w:t>
            </w:r>
          </w:p>
        </w:tc>
        <w:tc>
          <w:tcPr>
            <w:tcW w:type="dxa" w:w="1123"/>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AF2F8"/>
            <w:vAlign w:val="center"/>
          </w:tcPr>
          <w:p>
            <w:pPr>
              <w:spacing w:after="0"/>
              <w:jc w:val="center"/>
            </w:pPr>
            <w:r>
              <w:rPr>
                <w:sz w:val="17"/>
              </w:rPr>
              <w:t>0.708</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AF2F8"/>
            <w:vAlign w:val="center"/>
          </w:tcPr>
          <w:p>
            <w:pPr>
              <w:spacing w:after="0"/>
              <w:jc w:val="center"/>
            </w:pPr>
            <w:r>
              <w:rPr>
                <w:sz w:val="17"/>
              </w:rPr>
              <w:t>0.701</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AF2F8"/>
            <w:vAlign w:val="center"/>
          </w:tcPr>
          <w:p>
            <w:pPr>
              <w:spacing w:after="0"/>
              <w:jc w:val="center"/>
            </w:pPr>
            <w:r>
              <w:rPr>
                <w:sz w:val="17"/>
              </w:rPr>
              <w:t>0.917</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AF2F8"/>
            <w:vAlign w:val="center"/>
          </w:tcPr>
          <w:p>
            <w:pPr>
              <w:spacing w:after="0"/>
              <w:jc w:val="center"/>
            </w:pPr>
            <w:r>
              <w:rPr>
                <w:sz w:val="17"/>
              </w:rPr>
              <w:t>NORMAL 0.333</w:t>
            </w:r>
          </w:p>
        </w:tc>
      </w:tr>
    </w:tbl>
    <w:p>
      <w:pPr>
        <w:spacing w:after="20"/>
      </w:pPr>
    </w:p>
    <w:p>
      <w:r>
        <w:t>Nel task locale, la BA TEST 0.583 è poco sopra il livello bilanciato casuale di 0.5 e il recall NORMAL 0.25 produce molti falsi allarmi. Nel task di rete, BA 0.708 e macro-F1 0.701 mostrano un segnale utile ma ancora moderato; la classe MIXED è riconosciuta bene nel campione congelato, mentre NORMAL resta debole. Il false-positive episode rate su NORMAL è 1.0 per entrambi i task: ogni episodio normale genera almeno un falso positivo nel replay. Questo è incompatibile con un impiego operativo affidabile.</w:t>
      </w:r>
    </w:p>
    <w:p>
      <w:pPr>
        <w:pStyle w:val="Heading1"/>
      </w:pPr>
      <w:r>
        <w:t>6 Confronto quantum AFSE con baseline raw</w:t>
      </w:r>
    </w:p>
    <w:tbl>
      <w:tblPr>
        <w:tblW w:type="auto" w:w="0"/>
        <w:jc w:val="center"/>
        <w:tblLayout w:type="fixed"/>
        <w:tblLook w:firstColumn="1" w:firstRow="1" w:lastColumn="0" w:lastRow="0" w:noHBand="0" w:noVBand="1" w:val="04A0"/>
      </w:tblPr>
      <w:tblGrid>
        <w:gridCol w:w="1694"/>
        <w:gridCol w:w="1694"/>
        <w:gridCol w:w="1694"/>
        <w:gridCol w:w="1694"/>
        <w:gridCol w:w="1694"/>
        <w:gridCol w:w="1694"/>
      </w:tblGrid>
      <w:tr>
        <w:trPr>
          <w:tblHeader w:val="true"/>
        </w:trPr>
        <w:tc>
          <w:tcPr>
            <w:tcW w:type="dxa" w:w="151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8"/>
              </w:rPr>
              <w:t>Task</w:t>
            </w:r>
          </w:p>
        </w:tc>
        <w:tc>
          <w:tcPr>
            <w:tcW w:type="dxa" w:w="151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8"/>
              </w:rPr>
              <w:t>AFSE TEST BA</w:t>
            </w:r>
          </w:p>
        </w:tc>
        <w:tc>
          <w:tcPr>
            <w:tcW w:type="dxa" w:w="1440"/>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8"/>
              </w:rPr>
              <w:t>Raw TEST BA</w:t>
            </w:r>
          </w:p>
        </w:tc>
        <w:tc>
          <w:tcPr>
            <w:tcW w:type="dxa" w:w="122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8"/>
              </w:rPr>
              <w:t>Delta BA</w:t>
            </w:r>
          </w:p>
        </w:tc>
        <w:tc>
          <w:tcPr>
            <w:tcW w:type="dxa" w:w="208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8"/>
              </w:rPr>
              <w:t>95 percent CI delta</w:t>
            </w:r>
          </w:p>
        </w:tc>
        <w:tc>
          <w:tcPr>
            <w:tcW w:type="dxa" w:w="2880"/>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8"/>
              </w:rPr>
              <w:t>Verdetto</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sz w:val="17"/>
              </w:rPr>
              <w:t>Locale</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sz w:val="17"/>
              </w:rPr>
              <w:t>0.583</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sz w:val="17"/>
              </w:rPr>
              <w:t>0.688</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sz w:val="17"/>
              </w:rPr>
              <w:t>-0.104</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sz w:val="17"/>
              </w:rPr>
              <w:t>-0.282 a +0.040</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sz w:val="17"/>
              </w:rPr>
              <w:t>Point estimate peggiore</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AF2F8"/>
            <w:vAlign w:val="center"/>
          </w:tcPr>
          <w:p>
            <w:pPr>
              <w:spacing w:after="0"/>
              <w:jc w:val="left"/>
            </w:pPr>
            <w:r>
              <w:rPr>
                <w:sz w:val="17"/>
              </w:rPr>
              <w:t>Rete</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AF2F8"/>
            <w:vAlign w:val="center"/>
          </w:tcPr>
          <w:p>
            <w:pPr>
              <w:spacing w:after="0"/>
              <w:jc w:val="center"/>
            </w:pPr>
            <w:r>
              <w:rPr>
                <w:sz w:val="17"/>
              </w:rPr>
              <w:t>0.708</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AF2F8"/>
            <w:vAlign w:val="center"/>
          </w:tcPr>
          <w:p>
            <w:pPr>
              <w:spacing w:after="0"/>
              <w:jc w:val="center"/>
            </w:pPr>
            <w:r>
              <w:rPr>
                <w:sz w:val="17"/>
              </w:rPr>
              <w:t>0.750</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AF2F8"/>
            <w:vAlign w:val="center"/>
          </w:tcPr>
          <w:p>
            <w:pPr>
              <w:spacing w:after="0"/>
              <w:jc w:val="center"/>
            </w:pPr>
            <w:r>
              <w:rPr>
                <w:sz w:val="17"/>
              </w:rPr>
              <w:t>-0.042</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AF2F8"/>
            <w:vAlign w:val="center"/>
          </w:tcPr>
          <w:p>
            <w:pPr>
              <w:spacing w:after="0"/>
              <w:jc w:val="center"/>
            </w:pPr>
            <w:r>
              <w:rPr>
                <w:sz w:val="17"/>
              </w:rPr>
              <w:t>-0.275 a +0.161</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AF2F8"/>
            <w:vAlign w:val="center"/>
          </w:tcPr>
          <w:p>
            <w:pPr>
              <w:spacing w:after="0"/>
              <w:jc w:val="center"/>
            </w:pPr>
            <w:r>
              <w:rPr>
                <w:sz w:val="17"/>
              </w:rPr>
              <w:t>Point estimate peggiore</w:t>
            </w:r>
          </w:p>
        </w:tc>
      </w:tr>
    </w:tbl>
    <w:p>
      <w:pPr>
        <w:spacing w:after="20"/>
      </w:pPr>
    </w:p>
    <w:p>
      <w:r>
        <w:t>Anche il macro-F1 peggiora: -0.106 nel task locale e -0.056 nel task di rete. Gli intervalli paired bootstrap includono lo zero, quindi non si può affermare che AFSE sia statisticamente peggiore; allo stesso modo, non esiste evidenza che sia migliore. La lettura corretta è che, con questi dati e questo protocollo, il componente quantum-AFSE non aggiunge efficacia predittiva dimostrabile rispetto allo stesso MLP alimentato da State8 raw.</w:t>
      </w:r>
    </w:p>
    <w:p>
      <w:pPr>
        <w:pStyle w:val="Heading1"/>
      </w:pPr>
      <w:r>
        <w:t>7 Valutazione della validità scientifica</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94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8"/>
              </w:rPr>
              <w:t>Dimensione</w:t>
            </w:r>
          </w:p>
        </w:tc>
        <w:tc>
          <w:tcPr>
            <w:tcW w:type="dxa" w:w="1656"/>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8"/>
              </w:rPr>
              <w:t>Valutazione</w:t>
            </w:r>
          </w:p>
        </w:tc>
        <w:tc>
          <w:tcPr>
            <w:tcW w:type="dxa" w:w="3816"/>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8"/>
              </w:rPr>
              <w:t>Evidenza</w:t>
            </w:r>
          </w:p>
        </w:tc>
        <w:tc>
          <w:tcPr>
            <w:tcW w:type="dxa" w:w="3240"/>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8"/>
              </w:rPr>
              <w:t>Limite principale</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sz w:val="17"/>
              </w:rPr>
              <w:t>Integrità del protocollo</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sz w:val="17"/>
              </w:rPr>
              <w:t>Forte</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sz w:val="17"/>
              </w:rPr>
              <w:t>Split pre-simulazione, freeze, ledger TEST, artifact hash</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sz w:val="17"/>
              </w:rPr>
              <w:t>Runtime di generazione senza SHA Git registrato</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AF2F8"/>
            <w:vAlign w:val="center"/>
          </w:tcPr>
          <w:p>
            <w:pPr>
              <w:spacing w:after="0"/>
              <w:jc w:val="left"/>
            </w:pPr>
            <w:r>
              <w:rPr>
                <w:sz w:val="17"/>
              </w:rPr>
              <w:t>Riproducibilità software</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AF2F8"/>
            <w:vAlign w:val="center"/>
          </w:tcPr>
          <w:p>
            <w:pPr>
              <w:spacing w:after="0"/>
              <w:jc w:val="center"/>
            </w:pPr>
            <w:r>
              <w:rPr>
                <w:sz w:val="17"/>
              </w:rPr>
              <w:t>Forte</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AF2F8"/>
            <w:vAlign w:val="center"/>
          </w:tcPr>
          <w:p>
            <w:pPr>
              <w:spacing w:after="0"/>
              <w:jc w:val="center"/>
            </w:pPr>
            <w:r>
              <w:rPr>
                <w:sz w:val="17"/>
              </w:rPr>
              <w:t>Test automatici, container healthy, persistenza deterministica</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AF2F8"/>
            <w:vAlign w:val="center"/>
          </w:tcPr>
          <w:p>
            <w:pPr>
              <w:spacing w:after="0"/>
              <w:jc w:val="center"/>
            </w:pPr>
            <w:r>
              <w:rPr>
                <w:sz w:val="17"/>
              </w:rPr>
              <w:t>Una macchina e simulatore locale</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sz w:val="17"/>
              </w:rPr>
              <w:t>Validità interna</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sz w:val="17"/>
              </w:rPr>
              <w:t>Moderata</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sz w:val="17"/>
              </w:rPr>
              <w:t>Cause sintetiche controllate e canali separati</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sz w:val="17"/>
              </w:rPr>
              <w:t>Label definite dal simulatore</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AF2F8"/>
            <w:vAlign w:val="center"/>
          </w:tcPr>
          <w:p>
            <w:pPr>
              <w:spacing w:after="0"/>
              <w:jc w:val="left"/>
            </w:pPr>
            <w:r>
              <w:rPr>
                <w:sz w:val="17"/>
              </w:rPr>
              <w:t>Validità predittiva</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AF2F8"/>
            <w:vAlign w:val="center"/>
          </w:tcPr>
          <w:p>
            <w:pPr>
              <w:spacing w:after="0"/>
              <w:jc w:val="center"/>
            </w:pPr>
            <w:r>
              <w:rPr>
                <w:sz w:val="17"/>
              </w:rPr>
              <w:t>Moderata-debole</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AF2F8"/>
            <w:vAlign w:val="center"/>
          </w:tcPr>
          <w:p>
            <w:pPr>
              <w:spacing w:after="0"/>
              <w:jc w:val="center"/>
            </w:pPr>
            <w:r>
              <w:rPr>
                <w:sz w:val="17"/>
              </w:rPr>
              <w:t>Rete TEST BA 0.708; locale 0.583</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AF2F8"/>
            <w:vAlign w:val="center"/>
          </w:tcPr>
          <w:p>
            <w:pPr>
              <w:spacing w:after="0"/>
              <w:jc w:val="center"/>
            </w:pPr>
            <w:r>
              <w:rPr>
                <w:sz w:val="17"/>
              </w:rPr>
              <w:t>Campioni piccoli e falsi positivi NORMAL</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sz w:val="17"/>
              </w:rPr>
              <w:t>Vantaggio quantum</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sz w:val="17"/>
              </w:rPr>
              <w:t>Non dimostrato</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sz w:val="17"/>
              </w:rPr>
              <w:t>AFSE peggiore del raw sul TEST; TQK equivalenti</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sz w:val="17"/>
              </w:rPr>
              <w:t>Baseline SNR già quasi perfetto</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AF2F8"/>
            <w:vAlign w:val="center"/>
          </w:tcPr>
          <w:p>
            <w:pPr>
              <w:spacing w:after="0"/>
              <w:jc w:val="left"/>
            </w:pPr>
            <w:r>
              <w:rPr>
                <w:sz w:val="17"/>
              </w:rPr>
              <w:t>Validità esterna</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AF2F8"/>
            <w:vAlign w:val="center"/>
          </w:tcPr>
          <w:p>
            <w:pPr>
              <w:spacing w:after="0"/>
              <w:jc w:val="center"/>
            </w:pPr>
            <w:r>
              <w:rPr>
                <w:sz w:val="17"/>
              </w:rPr>
              <w:t>Non stabilita</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AF2F8"/>
            <w:vAlign w:val="center"/>
          </w:tcPr>
          <w:p>
            <w:pPr>
              <w:spacing w:after="0"/>
              <w:jc w:val="center"/>
            </w:pPr>
            <w:r>
              <w:rPr>
                <w:sz w:val="17"/>
              </w:rPr>
              <w:t>Nessun dato da sensore fisico</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AF2F8"/>
            <w:vAlign w:val="center"/>
          </w:tcPr>
          <w:p>
            <w:pPr>
              <w:spacing w:after="0"/>
              <w:jc w:val="center"/>
            </w:pPr>
            <w:r>
              <w:rPr>
                <w:sz w:val="17"/>
              </w:rPr>
              <w:t>Domain shift e rumore reale ignoti</w:t>
            </w:r>
          </w:p>
        </w:tc>
      </w:tr>
    </w:tbl>
    <w:p>
      <w:pPr>
        <w:spacing w:after="20"/>
      </w:pPr>
    </w:p>
    <w:p>
      <w:pPr>
        <w:pStyle w:val="Heading1"/>
      </w:pPr>
      <w:r>
        <w:t>8 Verdetto e prossime condizioni di prova</w:t>
      </w:r>
    </w:p>
    <w:p>
      <w:r>
        <w:rPr>
          <w:b/>
        </w:rPr>
        <w:t>Verdetto complessivo.</w:t>
      </w:r>
      <w:r>
        <w:t xml:space="preserve"> AQSE ha raggiunto la validità di un dimostratore di ricerca auditabile: la catena dati è reale, il TEST è stato gestito correttamente e il modello produce risultati misurabili. Non ha ancora raggiunto la validità di un modello scientificamente efficace per il campo. L'ipotesi più forte, cioè un vantaggio della rappresentazione quantum-AFSE, non è sostenuta dai risultati held-out correnti.</w:t>
      </w:r>
    </w:p>
    <w:p>
      <w:r>
        <w:t>Prima di qualunque nuova dichiarazione di efficacia occorre:</w:t>
      </w:r>
    </w:p>
    <w:p>
      <w:pPr>
        <w:pStyle w:val="ListBullet"/>
      </w:pPr>
      <w:r>
        <w:t>completare la revisione umana cieca delle 56 osservazioni e mantenere separati scenario, predizione e label;</w:t>
      </w:r>
    </w:p>
    <w:p>
      <w:pPr>
        <w:pStyle w:val="ListBullet"/>
      </w:pPr>
      <w:r>
        <w:t>definire prima dell'analisi una nuova partizione indipendente e un endpoint primario, senza riutilizzare il TEST congelato;</w:t>
      </w:r>
    </w:p>
    <w:p>
      <w:pPr>
        <w:pStyle w:val="ListBullet"/>
      </w:pPr>
      <w:r>
        <w:t>aumentare il numero di episodi indipendenti, soprattutto NORMAL, e riportare intervalli per classe e per severità;</w:t>
      </w:r>
    </w:p>
    <w:p>
      <w:pPr>
        <w:pStyle w:val="ListBullet"/>
      </w:pPr>
      <w:r>
        <w:t>ridurre e misurare il false-positive episode rate, con soglie decise solo su TRAIN e VALIDATION;</w:t>
      </w:r>
    </w:p>
    <w:p>
      <w:pPr>
        <w:pStyle w:val="ListBullet"/>
      </w:pPr>
      <w:r>
        <w:t>aggiungere dati hardware o almeno hardware-in-the-loop per misurare il domain shift;</w:t>
      </w:r>
    </w:p>
    <w:p>
      <w:pPr>
        <w:pStyle w:val="ListBullet"/>
      </w:pPr>
      <w:r>
        <w:t>confrontare nuovamente quantum-AFSE e raw State8 con test paired e analisi di potenza predefinita;</w:t>
      </w:r>
    </w:p>
    <w:p>
      <w:pPr>
        <w:pStyle w:val="ListBullet"/>
      </w:pPr>
      <w:r>
        <w:t>trattare score e OOD come euristiche finché non siano calibrati su dati indipendenti.</w:t>
      </w:r>
    </w:p>
    <w:p>
      <w:pPr>
        <w:pStyle w:val="Heading1"/>
      </w:pPr>
      <w:r>
        <w:t>9 Tracciabilità delle fonti</w:t>
      </w:r>
    </w:p>
    <w:p>
      <w:r>
        <w:t>Le metriche derivano dagli artifact e dai record congelati AQSE Milestone 1D.4a, Milestone 1D.4b e dal record end-to-end v1. Identità principali: comparative evaluation aqse-comparative-evaluation-5b0aeed2cdd9aeba; model-selection freeze aqse-model-selection-freeze-433ca4c0cae8fabf; held-out result aqse-final-held-out-7f338dafc2c02f09; end-to-end study aqse-network-study-5f33f5c4d856361f; end-to-end final evaluation aqse-demo-final-ad5fb1055eb68ead. La campagna interattiva è descritta dal registro locale con 56 observation episodes e 0 human-reviewed labels alla data del presente documento.</w:t>
      </w:r>
    </w:p>
    <w:p>
      <w:r>
        <w:t>Le conclusioni restano subordinate al perimetro dichiarato: simulazione sintetica esatta, nessuna QPU fisica, nessuna pretesa di sensibilità magnetometrica reale e nessuna validazione per impiego sul campo.</w:t>
      </w:r>
    </w:p>
    <w:sectPr w:rsidR="00FC693F" w:rsidRPr="0006063C" w:rsidSect="00034616">
      <w:footerReference w:type="default" r:id="rId9"/>
      <w:pgSz w:w="12240" w:h="15840"/>
      <w:pgMar w:top="1037"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AQSE  |  Valutazione scientifica  |  11 settembre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C1C1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Aptos" w:hAnsi="Aptos"/>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AQSE valutazione scientifica ed efficacia del modello</dc:title>
  <dc:subject>Sintesi delle metriche congelate e della campagna osservazionale AQSE</dc:subject>
  <dc:creator>AQSE Project</dc:creator>
  <cp:keywords>AQSE, TQK, AFSE, State8, validazione scientifica</cp:keywords>
  <dc:description>generated by python-docx</dc:description>
  <cp:lastModifiedBy/>
  <cp:revision>1</cp:revision>
  <dcterms:created xsi:type="dcterms:W3CDTF">2013-12-23T23:15:00Z</dcterms:created>
  <dcterms:modified xsi:type="dcterms:W3CDTF">2013-12-23T23:15:00Z</dcterms:modified>
  <cp:category/>
</cp:coreProperties>
</file>