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Misssingness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2023-09-19</w:t>
      </w:r>
    </w:p>
    <w:p>
      <w:pPr>
        <w:pStyle w:val="FirstParagraph"/>
      </w:pPr>
      <w:r>
        <w:t xml:space="preserve">In this document, we explore the missingness in the Browne data following the</w:t>
      </w:r>
      <w:r>
        <w:t xml:space="preserve"> </w:t>
      </w:r>
      <w:r>
        <w:t xml:space="preserve">multiple imputation approach we have used. First, we summarize the different</w:t>
      </w:r>
      <w:r>
        <w:t xml:space="preserve"> </w:t>
      </w:r>
      <w:r>
        <w:t xml:space="preserve">missingness patterns that appear in these data. Second, we examine how well the</w:t>
      </w:r>
      <w:r>
        <w:t xml:space="preserve"> </w:t>
      </w:r>
      <w:r>
        <w:t xml:space="preserve">missing variables can be predicted from the observed variables in the two imputation</w:t>
      </w:r>
      <w:r>
        <w:t xml:space="preserve"> </w:t>
      </w:r>
      <w:r>
        <w:t xml:space="preserve">models that we have used: (i) global imputation, and (ii) imputation per arm.</w:t>
      </w:r>
    </w:p>
    <w:bookmarkStart w:id="29" w:name="missingness-patterns"/>
    <w:p>
      <w:pPr>
        <w:pStyle w:val="Heading1"/>
      </w:pPr>
      <w:r>
        <w:t xml:space="preserve">Missingness Patterns</w:t>
      </w:r>
    </w:p>
    <w:p>
      <w:pPr>
        <w:pStyle w:val="FirstParagraph"/>
      </w:pPr>
      <w:r>
        <w:t xml:space="preserve">In the next figure, the missing data patterns are summarized for the patients in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Sertraline alone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Sertraline and IPT</w:t>
      </w:r>
      <w:r>
        <w:t xml:space="preserve">”</w:t>
      </w:r>
      <w:r>
        <w:t xml:space="preserve"> </w:t>
      </w:r>
      <w:r>
        <w:t xml:space="preserve">groups. The first column</w:t>
      </w:r>
      <w:r>
        <w:t xml:space="preserve"> </w:t>
      </w:r>
      <w:r>
        <w:t xml:space="preserve">provides the frequency of each pattern. The last column lists the number of</w:t>
      </w:r>
      <w:r>
        <w:t xml:space="preserve"> </w:t>
      </w:r>
      <w:r>
        <w:t xml:space="preserve">missing entries per pattern. The bottom row provides the number of missing</w:t>
      </w:r>
      <w:r>
        <w:t xml:space="preserve"> </w:t>
      </w:r>
      <w:r>
        <w:t xml:space="preserve">entries per variable, and the total number of missing cells.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ation_of_missingnes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shows that almost all missingness is due to missingness in the</w:t>
      </w:r>
      <w:r>
        <w:t xml:space="preserve"> </w:t>
      </w:r>
      <w:r>
        <w:t xml:space="preserve">outcome variables measured 6 months after randomization. In addition, most</w:t>
      </w:r>
      <w:r>
        <w:t xml:space="preserve"> </w:t>
      </w:r>
      <w:r>
        <w:t xml:space="preserve">missingness is due to drop out before the 6 months measurement occasion.</w:t>
      </w:r>
      <w:r>
        <w:t xml:space="preserve"> </w:t>
      </w:r>
      <w:r>
        <w:t xml:space="preserve">Therefore, a missing outcome at 6 months is generally imputed using only the</w:t>
      </w:r>
      <w:r>
        <w:t xml:space="preserve"> </w:t>
      </w:r>
      <w:r>
        <w:t xml:space="preserve">baseline covariates,</w:t>
      </w:r>
      <w:r>
        <w:t xml:space="preserve"> </w:t>
      </w:r>
      <w:r>
        <w:rPr>
          <w:iCs/>
          <w:i/>
        </w:rPr>
        <w:t xml:space="preserve">but not the other outcomes at 6 months</w:t>
      </w:r>
      <w:r>
        <w:t xml:space="preserve">. The accuracy of</w:t>
      </w:r>
      <w:r>
        <w:t xml:space="preserve"> </w:t>
      </w:r>
      <w:r>
        <w:t xml:space="preserve">the imputations will thus depend mostly on how well the baseline covariates can</w:t>
      </w:r>
      <w:r>
        <w:t xml:space="preserve"> </w:t>
      </w:r>
      <w:r>
        <w:t xml:space="preserve">predict the outcomes at 6 months.</w:t>
      </w:r>
    </w:p>
    <w:p>
      <w:pPr>
        <w:pStyle w:val="BodyText"/>
      </w:pPr>
      <w:r>
        <w:t xml:space="preserve">The same graph is repeated for the treatment groups separately.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ation_of_missingnes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ation_of_missingnes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6" w:name="accuracy-of-imputations"/>
    <w:p>
      <w:pPr>
        <w:pStyle w:val="Heading1"/>
      </w:pPr>
      <w:r>
        <w:t xml:space="preserve">Accuracy of Imputations</w:t>
      </w:r>
    </w:p>
    <w:p>
      <w:pPr>
        <w:pStyle w:val="FirstParagraph"/>
      </w:pPr>
      <w:r>
        <w:t xml:space="preserve">In this section, we will examine how accurately missing observations can be</w:t>
      </w:r>
      <w:r>
        <w:t xml:space="preserve"> </w:t>
      </w:r>
      <w:r>
        <w:t xml:space="preserve">imputed in the two imputation models we have considered: (i) global imputation</w:t>
      </w:r>
      <w:r>
        <w:t xml:space="preserve"> </w:t>
      </w:r>
      <w:r>
        <w:t xml:space="preserve">and (ii) imputation per arm. We will examine two aspects of this accuracy:</w:t>
      </w:r>
    </w:p>
    <w:p>
      <w:pPr>
        <w:numPr>
          <w:ilvl w:val="0"/>
          <w:numId w:val="1001"/>
        </w:numPr>
        <w:pStyle w:val="Compact"/>
      </w:pPr>
      <w:r>
        <w:t xml:space="preserve">How well can the missing values be predicted from the observed values? This is</w:t>
      </w:r>
      <w:r>
        <w:t xml:space="preserve"> </w:t>
      </w:r>
      <w:r>
        <w:t xml:space="preserve">quantified in the adjusted R-squared values for the prediction models for each</w:t>
      </w:r>
      <w:r>
        <w:t xml:space="preserve"> </w:t>
      </w:r>
      <w:r>
        <w:t xml:space="preserve">of the 5 outcomes measured at 6 months.</w:t>
      </w:r>
    </w:p>
    <w:p>
      <w:pPr>
        <w:numPr>
          <w:ilvl w:val="0"/>
          <w:numId w:val="1001"/>
        </w:numPr>
        <w:pStyle w:val="Compact"/>
      </w:pPr>
      <w:r>
        <w:t xml:space="preserve">How much uncertainty is there in individual predictions? This is quantified</w:t>
      </w:r>
      <w:r>
        <w:t xml:space="preserve"> </w:t>
      </w:r>
      <w:r>
        <w:t xml:space="preserve">by the standard error for the predicted mean outcome for patients with missing</w:t>
      </w:r>
      <w:r>
        <w:t xml:space="preserve"> </w:t>
      </w:r>
      <w:r>
        <w:t xml:space="preserve">outcomes at 6 months. We additionally consider the width of the associated</w:t>
      </w:r>
      <w:r>
        <w:t xml:space="preserve"> </w:t>
      </w:r>
      <w:r>
        <w:t xml:space="preserve">prediction intervals.</w:t>
      </w:r>
    </w:p>
    <w:p>
      <w:pPr>
        <w:pStyle w:val="FirstParagraph"/>
      </w:pPr>
      <w:r>
        <w:t xml:space="preserve">To achieve the above goals, we fit two linear regression models corresponding to</w:t>
      </w:r>
      <w:r>
        <w:t xml:space="preserve"> </w:t>
      </w:r>
      <w:r>
        <w:t xml:space="preserve">the two imputation models.</w:t>
      </w:r>
    </w:p>
    <w:p>
      <w:pPr>
        <w:numPr>
          <w:ilvl w:val="0"/>
          <w:numId w:val="1002"/>
        </w:numPr>
        <w:pStyle w:val="Compact"/>
      </w:pPr>
      <w:r>
        <w:t xml:space="preserve">The first linear regression model uses all baseline</w:t>
      </w:r>
      <w:r>
        <w:t xml:space="preserve"> </w:t>
      </w:r>
      <w:r>
        <w:t xml:space="preserve">covariates in the linear predictor</w:t>
      </w:r>
      <w:r>
        <w:t xml:space="preserve"> </w:t>
      </w:r>
      <w:r>
        <w:rPr>
          <w:iCs/>
          <w:i/>
        </w:rPr>
        <w:t xml:space="preserve">without</w:t>
      </w:r>
      <w:r>
        <w:t xml:space="preserve"> </w:t>
      </w:r>
      <w:r>
        <w:t xml:space="preserve">interaction terms. This</w:t>
      </w:r>
      <w:r>
        <w:t xml:space="preserve"> </w:t>
      </w:r>
      <w:r>
        <w:t xml:space="preserve">corresponds to global imputation.</w:t>
      </w:r>
    </w:p>
    <w:p>
      <w:pPr>
        <w:numPr>
          <w:ilvl w:val="0"/>
          <w:numId w:val="1002"/>
        </w:numPr>
        <w:pStyle w:val="Compact"/>
      </w:pPr>
      <w:r>
        <w:t xml:space="preserve">The second linear regression model uses all</w:t>
      </w:r>
      <w:r>
        <w:t xml:space="preserve"> </w:t>
      </w:r>
      <w:r>
        <w:t xml:space="preserve">baseline covariates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interaction terms with treatment in the linear predictor. This corresponds</w:t>
      </w:r>
      <w:r>
        <w:t xml:space="preserve"> </w:t>
      </w:r>
      <w:r>
        <w:t xml:space="preserve">to imputation per arm.</w:t>
      </w:r>
    </w:p>
    <w:p>
      <w:pPr>
        <w:pStyle w:val="FirstParagraph"/>
      </w:pPr>
      <w:r>
        <w:t xml:space="preserve">In the next table, we summarize the adjusted R-squared values for the linear</w:t>
      </w:r>
      <w:r>
        <w:t xml:space="preserve"> </w:t>
      </w:r>
      <w:r>
        <w:t xml:space="preserve">regression models. We make two important observations:</w:t>
      </w:r>
    </w:p>
    <w:p>
      <w:pPr>
        <w:numPr>
          <w:ilvl w:val="0"/>
          <w:numId w:val="1003"/>
        </w:numPr>
        <w:pStyle w:val="Compact"/>
      </w:pPr>
      <w:r>
        <w:t xml:space="preserve">The adjusted R-squared values are relatively low. This means that the missing</w:t>
      </w:r>
      <w:r>
        <w:t xml:space="preserve"> </w:t>
      </w:r>
      <w:r>
        <w:t xml:space="preserve">values cannot be very accurately predicted from the observed values. The</w:t>
      </w:r>
      <w:r>
        <w:t xml:space="preserve"> </w:t>
      </w:r>
      <w:r>
        <w:t xml:space="preserve">accuracy is especially low for VAS. For FAMFUN and SAS, the accuracy is actually</w:t>
      </w:r>
      <w:r>
        <w:t xml:space="preserve"> </w:t>
      </w:r>
      <w:r>
        <w:t xml:space="preserve">moderate.</w:t>
      </w:r>
    </w:p>
    <w:p>
      <w:pPr>
        <w:numPr>
          <w:ilvl w:val="0"/>
          <w:numId w:val="1003"/>
        </w:numPr>
        <w:pStyle w:val="Compact"/>
      </w:pPr>
      <w:r>
        <w:t xml:space="preserve">There is almost no difference in adjusted R-squared values between the two</w:t>
      </w:r>
      <w:r>
        <w:t xml:space="preserve"> </w:t>
      </w:r>
      <w:r>
        <w:t xml:space="preserve">linear regression models. Missing values can thus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more accurately</w:t>
      </w:r>
      <w:r>
        <w:t xml:space="preserve"> </w:t>
      </w:r>
      <w:r>
        <w:t xml:space="preserve">imputed in the imputation per arm model as compared to global imputation.</w:t>
      </w:r>
    </w:p>
    <w:p>
      <w:pPr>
        <w:pStyle w:val="TableCaption"/>
      </w:pPr>
      <w:r>
        <w:t xml:space="preserve">Adjusted R-squared values for linear regression models corresponding to global imputation and imputation per arm.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djusted R-squared values for linear regression models corresponding to global imputation and imputation per arm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arm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</w:tr>
    </w:tbl>
    <w:p>
      <w:pPr>
        <w:pStyle w:val="BodyText"/>
      </w:pPr>
      <w:r>
        <w:t xml:space="preserve">We can thus conclude that there is no real gain in accuracy when doing</w:t>
      </w:r>
      <w:r>
        <w:t xml:space="preserve"> </w:t>
      </w:r>
      <w:r>
        <w:t xml:space="preserve">imputation per arm. But is there an increase in uncertainty when doing</w:t>
      </w:r>
      <w:r>
        <w:t xml:space="preserve"> </w:t>
      </w:r>
      <w:r>
        <w:t xml:space="preserve">imputation per arm? In what follows, we consider the standard errors for the</w:t>
      </w:r>
      <w:r>
        <w:t xml:space="preserve"> </w:t>
      </w:r>
      <w:r>
        <w:t xml:space="preserve">predicted means for patients with missing outcome values at 6 months (and</w:t>
      </w:r>
      <w:r>
        <w:t xml:space="preserve"> </w:t>
      </w:r>
      <w:r>
        <w:t xml:space="preserve">completely observed baseline covariates).</w:t>
      </w:r>
    </w:p>
    <w:p>
      <w:pPr>
        <w:pStyle w:val="BodyText"/>
      </w:pPr>
      <w:r>
        <w:t xml:space="preserve">We only give the results for patients in the first two treatment groups because</w:t>
      </w:r>
      <w:r>
        <w:t xml:space="preserve"> </w:t>
      </w:r>
      <w:r>
        <w:t xml:space="preserve">these patients were used for estimating the optimal treatment regimes.</w:t>
      </w:r>
    </w:p>
    <w:p>
      <w:pPr>
        <w:pStyle w:val="BodyText"/>
      </w:pPr>
      <w:r>
        <w:t xml:space="preserve">The next plot shows these estimated standard errors for both linear regression</w:t>
      </w:r>
      <w:r>
        <w:t xml:space="preserve"> </w:t>
      </w:r>
      <w:r>
        <w:t xml:space="preserve">models. Note that this only captures uncertainty in the model parameters.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xploration_of_missingness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capture the full prediction uncertainty, we consider the widths of the</w:t>
      </w:r>
      <w:r>
        <w:t xml:space="preserve"> </w:t>
      </w:r>
      <w:r>
        <w:t xml:space="preserve">prediction intervals for the same predictions as above. This figure shows that a</w:t>
      </w:r>
      <w:r>
        <w:t xml:space="preserve"> </w:t>
      </w:r>
      <w:r>
        <w:t xml:space="preserve">small degree of uncertainty is added to the predictions if we do imputation per</w:t>
      </w:r>
      <w:r>
        <w:t xml:space="preserve"> </w:t>
      </w:r>
      <w:r>
        <w:t xml:space="preserve">arm.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xploration_of_missingness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Misssingness</dc:title>
  <dc:creator>Florian Stijven</dc:creator>
  <cp:keywords/>
  <dcterms:created xsi:type="dcterms:W3CDTF">2023-09-19T11:08:48Z</dcterms:created>
  <dcterms:modified xsi:type="dcterms:W3CDTF">2023-09-19T11:08:48Z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2023-09-19</vt:lpwstr>
  </property>
  <property fmtid="{D5CDD505-2E9C-101B-9397-08002B2CF9AE}" pid="3" name="output">
    <vt:lpwstr/>
  </property>
</Properties>
</file>