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9.png" ContentType="image/png"/>
  <Override PartName="/word/media/rId43.png" ContentType="image/png"/>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MNAR</w:t>
      </w:r>
      <w:r>
        <w:t xml:space="preserve"> </w:t>
      </w:r>
      <w:r>
        <w:t xml:space="preserve">Sensitivity</w:t>
      </w:r>
      <w:r>
        <w:t xml:space="preserve"> </w:t>
      </w:r>
      <w:r>
        <w:t xml:space="preserve">Analyses</w:t>
      </w:r>
    </w:p>
    <w:p>
      <w:pPr>
        <w:pStyle w:val="Author"/>
      </w:pPr>
      <w:r>
        <w:t xml:space="preserve">Florian</w:t>
      </w:r>
      <w:r>
        <w:t xml:space="preserve"> </w:t>
      </w:r>
      <w:r>
        <w:t xml:space="preserve">Stijven</w:t>
      </w:r>
    </w:p>
    <w:p>
      <w:pPr>
        <w:pStyle w:val="Date"/>
      </w:pPr>
      <w:r>
        <w:t xml:space="preserve">2024-11-26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In this report, we assess the optimal estimated treatment regimes under</w:t>
      </w:r>
      <w:r>
        <w:t xml:space="preserve"> </w:t>
      </w:r>
      <w:r>
        <w:t xml:space="preserve">a set of MNAR scenarios with a</w:t>
      </w:r>
      <w:r>
        <w:t xml:space="preserve"> </w:t>
      </w:r>
      <w:r>
        <w:rPr>
          <w:iCs/>
          <w:i/>
        </w:rPr>
        <w:t xml:space="preserve">global shift</w:t>
      </w:r>
      <w:r>
        <w:t xml:space="preserve">: imputed values are</w:t>
      </w:r>
      <w:r>
        <w:t xml:space="preserve"> </w:t>
      </w:r>
      <w:r>
        <w:t xml:space="preserve">shifted downwards or upwards by a constant amount. We focus on the CESD</w:t>
      </w:r>
      <w:r>
        <w:t xml:space="preserve"> </w:t>
      </w:r>
      <w:r>
        <w:t xml:space="preserve">outcome at 6 months.</w:t>
      </w:r>
    </w:p>
    <w:p>
      <w:pPr>
        <w:pStyle w:val="BodyText"/>
      </w:pPr>
      <w:r>
        <w:t xml:space="preserve">Because the CESD scale is confined to the</w:t>
      </w:r>
      <w:r>
        <w:t xml:space="preserve"> </w:t>
      </w:r>
      <m:oMath>
        <m:d>
          <m:dPr>
            <m:begChr m:val="["/>
            <m:endChr m:val="]"/>
            <m:sepChr m:val=""/>
            <m:grow/>
          </m:dPr>
          <m:e>
            <m:r>
              <m:t>0</m:t>
            </m:r>
            <m:r>
              <m:rPr>
                <m:sty m:val="p"/>
              </m:rPr>
              <m:t>,</m:t>
            </m:r>
            <m:r>
              <m:t>60</m:t>
            </m:r>
          </m:e>
        </m:d>
      </m:oMath>
      <w:r>
        <w:t xml:space="preserve"> </w:t>
      </w:r>
      <w:r>
        <w:t xml:space="preserve">interval, we have to take</w:t>
      </w:r>
      <w:r>
        <w:t xml:space="preserve"> </w:t>
      </w:r>
      <w:r>
        <w:t xml:space="preserve">these bounds into account when implementing global shift scenarios. In the main</w:t>
      </w:r>
      <w:r>
        <w:t xml:space="preserve"> </w:t>
      </w:r>
      <w:r>
        <w:t xml:space="preserve">analyses - and for the MNAR scenarios as well - the CESD outcome is transformed</w:t>
      </w:r>
      <w:r>
        <w:t xml:space="preserve"> </w:t>
      </w:r>
      <w:r>
        <w:t xml:space="preserve">to the real line before imputing, using the following transformation:</w:t>
      </w:r>
    </w:p>
    <w:p>
      <w:pPr>
        <w:pStyle w:val="BodyText"/>
      </w:pPr>
      <m:oMathPara>
        <m:oMathParaPr>
          <m:jc m:val="center"/>
        </m:oMathParaPr>
        <m:oMath>
          <m:acc>
            <m:accPr>
              <m:chr m:val="̃"/>
            </m:accPr>
            <m:e>
              <m:r>
                <m:rPr>
                  <m:nor/>
                  <m:sty m:val="p"/>
                  <m:scr m:val="monospace"/>
                </m:rPr>
                <m:t>cesd</m:t>
              </m:r>
            </m:e>
          </m:acc>
          <m:r>
            <m:rPr>
              <m:sty m:val="p"/>
            </m:rPr>
            <m:t>=</m:t>
          </m:r>
          <m:r>
            <m:t>l</m:t>
          </m:r>
          <m:r>
            <m:t>o</m:t>
          </m:r>
          <m:r>
            <m:t>g</m:t>
          </m:r>
          <m:r>
            <m:t>i</m:t>
          </m:r>
          <m:r>
            <m:t>t</m:t>
          </m:r>
          <m:d>
            <m:dPr>
              <m:begChr m:val="("/>
              <m:endChr m:val=")"/>
              <m:sepChr m:val=""/>
              <m:grow/>
            </m:dPr>
            <m:e>
              <m:f>
                <m:fPr>
                  <m:type m:val="bar"/>
                </m:fPr>
                <m:num>
                  <m:r>
                    <m:rPr>
                      <m:nor/>
                      <m:sty m:val="p"/>
                      <m:scr m:val="monospace"/>
                    </m:rPr>
                    <m:t>cesd</m:t>
                  </m:r>
                  <m:r>
                    <m:rPr>
                      <m:sty m:val="p"/>
                    </m:rPr>
                    <m:t>+</m:t>
                  </m:r>
                  <m:r>
                    <m:t>1</m:t>
                  </m:r>
                </m:num>
                <m:den>
                  <m:r>
                    <m:t>62</m:t>
                  </m:r>
                </m:den>
              </m:f>
            </m:e>
          </m:d>
        </m:oMath>
      </m:oMathPara>
    </w:p>
    <w:p>
      <w:pPr>
        <w:pStyle w:val="FirstParagraph"/>
      </w:pPr>
      <w:r>
        <w:t xml:space="preserve">where</w:t>
      </w:r>
      <w:r>
        <w:t xml:space="preserve"> </w:t>
      </w:r>
      <m:oMath>
        <m:acc>
          <m:accPr>
            <m:chr m:val="̃"/>
          </m:accPr>
          <m:e>
            <m:r>
              <m:rPr>
                <m:nor/>
                <m:sty m:val="p"/>
                <m:scr m:val="monospace"/>
              </m:rPr>
              <m:t>cesd</m:t>
            </m:r>
          </m:e>
        </m:acc>
      </m:oMath>
      <w:r>
        <w:t xml:space="preserve"> </w:t>
      </w:r>
      <w:r>
        <w:t xml:space="preserve">is the transformed value.</w:t>
      </w:r>
    </w:p>
    <w:p>
      <w:pPr>
        <w:pStyle w:val="BodyText"/>
      </w:pPr>
      <w:r>
        <w:t xml:space="preserve">Afterwards, the imputed values are back-transformed to their original scale.</w:t>
      </w:r>
      <w:r>
        <w:t xml:space="preserve"> </w:t>
      </w:r>
      <w:r>
        <w:t xml:space="preserve">This ensures that (practically) all imputed values are in the</w:t>
      </w:r>
      <w:r>
        <w:t xml:space="preserve"> </w:t>
      </w:r>
      <m:oMath>
        <m:d>
          <m:dPr>
            <m:begChr m:val="["/>
            <m:endChr m:val="]"/>
            <m:sepChr m:val=""/>
            <m:grow/>
          </m:dPr>
          <m:e>
            <m:r>
              <m:t>0</m:t>
            </m:r>
            <m:r>
              <m:rPr>
                <m:sty m:val="p"/>
              </m:rPr>
              <m:t>,</m:t>
            </m:r>
            <m:r>
              <m:t>60</m:t>
            </m:r>
          </m:e>
        </m:d>
      </m:oMath>
      <w:r>
        <w:t xml:space="preserve"> </w:t>
      </w:r>
      <w:r>
        <w:t xml:space="preserve">interval. In practice, the imputed values are in the</w:t>
      </w:r>
      <w:r>
        <w:t xml:space="preserve"> </w:t>
      </w:r>
      <m:oMath>
        <m:d>
          <m:dPr>
            <m:begChr m:val="("/>
            <m:endChr m:val=")"/>
            <m:sepChr m:val=""/>
            <m:grow/>
          </m:dPr>
          <m:e>
            <m:r>
              <m:rPr>
                <m:sty m:val="p"/>
              </m:rPr>
              <m:t>−</m:t>
            </m:r>
            <m:r>
              <m:t>1</m:t>
            </m:r>
            <m:r>
              <m:rPr>
                <m:sty m:val="p"/>
              </m:rPr>
              <m:t>,</m:t>
            </m:r>
            <m:r>
              <m:t>61</m:t>
            </m:r>
          </m:e>
        </m:d>
      </m:oMath>
      <w:r>
        <w:t xml:space="preserve"> </w:t>
      </w:r>
      <w:r>
        <w:t xml:space="preserve">interval. Imputed</w:t>
      </w:r>
      <w:r>
        <w:t xml:space="preserve"> </w:t>
      </w:r>
      <w:r>
        <w:t xml:space="preserve">values in</w:t>
      </w:r>
      <w:r>
        <w:t xml:space="preserve"> </w:t>
      </w:r>
      <m:oMath>
        <m:d>
          <m:dPr>
            <m:begChr m:val="("/>
            <m:endChr m:val=")"/>
            <m:sepChr m:val=""/>
            <m:grow/>
          </m:dPr>
          <m:e>
            <m:r>
              <m:rPr>
                <m:sty m:val="p"/>
              </m:rPr>
              <m:t>−</m:t>
            </m:r>
            <m:r>
              <m:t>1</m:t>
            </m:r>
            <m:r>
              <m:rPr>
                <m:sty m:val="p"/>
              </m:rPr>
              <m:t>,</m:t>
            </m:r>
            <m:r>
              <m:t>0</m:t>
            </m:r>
          </m:e>
        </m:d>
      </m:oMath>
      <w:r>
        <w:t xml:space="preserve"> </w:t>
      </w:r>
      <w:r>
        <w:t xml:space="preserve">and</w:t>
      </w:r>
      <w:r>
        <w:t xml:space="preserve"> </w:t>
      </w:r>
      <m:oMath>
        <m:d>
          <m:dPr>
            <m:begChr m:val="("/>
            <m:endChr m:val=")"/>
            <m:sepChr m:val=""/>
            <m:grow/>
          </m:dPr>
          <m:e>
            <m:r>
              <m:t>60</m:t>
            </m:r>
            <m:r>
              <m:rPr>
                <m:sty m:val="p"/>
              </m:rPr>
              <m:t>,</m:t>
            </m:r>
            <m:r>
              <m:t>61</m:t>
            </m:r>
          </m:e>
        </m:d>
      </m:oMath>
      <w:r>
        <w:t xml:space="preserve"> </w:t>
      </w:r>
      <w:r>
        <w:t xml:space="preserve">are converted to</w:t>
      </w:r>
      <w:r>
        <w:t xml:space="preserve"> </w:t>
      </w:r>
      <m:oMath>
        <m:r>
          <m:t>0</m:t>
        </m:r>
      </m:oMath>
      <w:r>
        <w:t xml:space="preserve"> </w:t>
      </w:r>
      <w:r>
        <w:t xml:space="preserve">and</w:t>
      </w:r>
      <w:r>
        <w:t xml:space="preserve"> </w:t>
      </w:r>
      <m:oMath>
        <m:r>
          <m:t>60</m:t>
        </m:r>
      </m:oMath>
      <w:r>
        <w:t xml:space="preserve">, respectively.</w:t>
      </w:r>
    </w:p>
    <w:p>
      <w:pPr>
        <w:pStyle w:val="BodyText"/>
      </w:pPr>
      <w:r>
        <w:t xml:space="preserve">To ensure that imputations in the MNAR scenarios still respect the</w:t>
      </w:r>
      <w:r>
        <w:t xml:space="preserve"> </w:t>
      </w:r>
      <m:oMath>
        <m:d>
          <m:dPr>
            <m:begChr m:val="["/>
            <m:endChr m:val="]"/>
            <m:sepChr m:val=""/>
            <m:grow/>
          </m:dPr>
          <m:e>
            <m:r>
              <m:t>0</m:t>
            </m:r>
            <m:r>
              <m:rPr>
                <m:sty m:val="p"/>
              </m:rPr>
              <m:t>,</m:t>
            </m:r>
            <m:r>
              <m:t>60</m:t>
            </m:r>
          </m:e>
        </m:d>
      </m:oMath>
      <w:r>
        <w:t xml:space="preserve"> </w:t>
      </w:r>
      <w:r>
        <w:t xml:space="preserve">interval, the global shift is implemented on the</w:t>
      </w:r>
      <w:r>
        <w:t xml:space="preserve"> </w:t>
      </w:r>
      <m:oMath>
        <m:acc>
          <m:accPr>
            <m:chr m:val="̃"/>
          </m:accPr>
          <m:e>
            <m:r>
              <m:rPr>
                <m:nor/>
                <m:sty m:val="p"/>
                <m:scr m:val="monospace"/>
              </m:rPr>
              <m:t>cesd</m:t>
            </m:r>
          </m:e>
        </m:acc>
      </m:oMath>
      <w:r>
        <w:t xml:space="preserve"> </w:t>
      </w:r>
      <w:r>
        <w:t xml:space="preserve">scale.</w:t>
      </w:r>
      <w:r>
        <w:t xml:space="preserve"> </w:t>
      </w:r>
      <w:r>
        <w:t xml:space="preserve">Consequently, it is difficult to appreciate the size of the global shift.</w:t>
      </w:r>
      <w:r>
        <w:t xml:space="preserve"> </w:t>
      </w:r>
      <w:r>
        <w:t xml:space="preserve">Therefore, for each</w:t>
      </w:r>
      <w:r>
        <w:t xml:space="preserve"> </w:t>
      </w:r>
      <w:r>
        <w:t xml:space="preserve">shift on the</w:t>
      </w:r>
      <w:r>
        <w:t xml:space="preserve"> </w:t>
      </w:r>
      <m:oMath>
        <m:acc>
          <m:accPr>
            <m:chr m:val="̃"/>
          </m:accPr>
          <m:e>
            <m:r>
              <m:rPr>
                <m:nor/>
                <m:sty m:val="p"/>
                <m:scr m:val="monospace"/>
              </m:rPr>
              <m:t>cesd</m:t>
            </m:r>
          </m:e>
        </m:acc>
      </m:oMath>
      <w:r>
        <w:t xml:space="preserve"> </w:t>
      </w:r>
      <w:r>
        <w:t xml:space="preserve">scale, we also compute the average difference between the imputed values under the MAR and the MNAR scenario. Specifically, this is done by</w:t>
      </w:r>
      <w:r>
        <w:t xml:space="preserve"> </w:t>
      </w:r>
      <w:r>
        <w:t xml:space="preserve">computing</w:t>
      </w:r>
    </w:p>
    <w:p>
      <w:pPr>
        <w:pStyle w:val="BodyText"/>
      </w:pPr>
      <m:oMathPara>
        <m:oMathParaPr>
          <m:jc m:val="center"/>
        </m:oMathParaPr>
        <m:oMath>
          <m:sSub>
            <m:e>
              <m:r>
                <m:t>Δ</m:t>
              </m:r>
            </m:e>
            <m:sub>
              <m:r>
                <m:t>M</m:t>
              </m:r>
              <m:r>
                <m:t>N</m:t>
              </m:r>
              <m:r>
                <m:t>A</m:t>
              </m:r>
              <m:r>
                <m:t>R</m:t>
              </m:r>
            </m:sub>
          </m:sSub>
          <m:r>
            <m:rPr>
              <m:sty m:val="p"/>
            </m:rPr>
            <m:t>=</m:t>
          </m:r>
          <m:r>
            <m:t>E</m:t>
          </m:r>
          <m:d>
            <m:dPr>
              <m:begChr m:val="("/>
              <m:endChr m:val=")"/>
              <m:sepChr m:val=""/>
              <m:grow/>
            </m:dPr>
            <m:e>
              <m:sSub>
                <m:e>
                  <m:r>
                    <m:rPr>
                      <m:nor/>
                      <m:sty m:val="p"/>
                      <m:scr m:val="monospace"/>
                    </m:rPr>
                    <m:t>cesd</m:t>
                  </m:r>
                </m:e>
                <m:sub>
                  <m:r>
                    <m:t>M</m:t>
                  </m:r>
                  <m:r>
                    <m:t>N</m:t>
                  </m:r>
                  <m:r>
                    <m:t>A</m:t>
                  </m:r>
                  <m:r>
                    <m:t>R</m:t>
                  </m:r>
                </m:sub>
              </m:sSub>
            </m:e>
          </m:d>
          <m:r>
            <m:rPr>
              <m:sty m:val="p"/>
            </m:rPr>
            <m:t>−</m:t>
          </m:r>
          <m:r>
            <m:t>E</m:t>
          </m:r>
          <m:d>
            <m:dPr>
              <m:begChr m:val="("/>
              <m:endChr m:val=")"/>
              <m:sepChr m:val=""/>
              <m:grow/>
            </m:dPr>
            <m:e>
              <m:sSub>
                <m:e>
                  <m:r>
                    <m:rPr>
                      <m:nor/>
                      <m:sty m:val="p"/>
                      <m:scr m:val="monospace"/>
                    </m:rPr>
                    <m:t>cesd</m:t>
                  </m:r>
                </m:e>
                <m:sub>
                  <m:r>
                    <m:t>M</m:t>
                  </m:r>
                  <m:r>
                    <m:t>A</m:t>
                  </m:r>
                  <m:r>
                    <m:t>R</m:t>
                  </m:r>
                </m:sub>
              </m:sSub>
            </m:e>
          </m:d>
        </m:oMath>
      </m:oMathPara>
    </w:p>
    <w:p>
      <w:pPr>
        <w:pStyle w:val="FirstParagraph"/>
      </w:pPr>
      <w:r>
        <w:t xml:space="preserve">where the expectations are with respect to the patients with a missing CESD outcome</w:t>
      </w:r>
      <w:r>
        <w:t xml:space="preserve"> </w:t>
      </w:r>
      <w:r>
        <w:t xml:space="preserve">at 6 months, and</w:t>
      </w:r>
      <w:r>
        <w:t xml:space="preserve"> </w:t>
      </w:r>
      <m:oMath>
        <m:sSub>
          <m:e>
            <m:r>
              <m:rPr>
                <m:nor/>
                <m:sty m:val="p"/>
                <m:scr m:val="monospace"/>
              </m:rPr>
              <m:t>cesd</m:t>
            </m:r>
          </m:e>
          <m:sub>
            <m:r>
              <m:t>M</m:t>
            </m:r>
            <m:r>
              <m:t>N</m:t>
            </m:r>
            <m:r>
              <m:t>A</m:t>
            </m:r>
            <m:r>
              <m:t>R</m:t>
            </m:r>
          </m:sub>
        </m:sSub>
      </m:oMath>
      <w:r>
        <w:t xml:space="preserve"> </w:t>
      </w:r>
      <w:r>
        <w:t xml:space="preserve">and</w:t>
      </w:r>
      <w:r>
        <w:t xml:space="preserve"> </w:t>
      </w:r>
      <m:oMath>
        <m:sSub>
          <m:e>
            <m:r>
              <m:rPr>
                <m:nor/>
                <m:sty m:val="p"/>
                <m:scr m:val="monospace"/>
              </m:rPr>
              <m:t>cesd</m:t>
            </m:r>
          </m:e>
          <m:sub>
            <m:r>
              <m:t>M</m:t>
            </m:r>
            <m:r>
              <m:t>A</m:t>
            </m:r>
            <m:r>
              <m:t>R</m:t>
            </m:r>
          </m:sub>
        </m:sSub>
      </m:oMath>
      <w:r>
        <w:t xml:space="preserve"> </w:t>
      </w:r>
      <w:r>
        <w:t xml:space="preserve">are the imputed</w:t>
      </w:r>
      <w:r>
        <w:t xml:space="preserve"> </w:t>
      </w:r>
      <w:r>
        <w:t xml:space="preserve">values under MNAR and MAR, respectively.</w:t>
      </w:r>
    </w:p>
    <w:p>
      <w:pPr>
        <w:pStyle w:val="BodyText"/>
      </w:pPr>
      <w:r>
        <w:t xml:space="preserve">In this report, we consider MNAR scenarios from an extremely large negative to</w:t>
      </w:r>
      <w:r>
        <w:t xml:space="preserve"> </w:t>
      </w:r>
      <w:r>
        <w:t xml:space="preserve">an extremely large positive global shift. However, it should be kept in mind</w:t>
      </w:r>
      <w:r>
        <w:t xml:space="preserve"> </w:t>
      </w:r>
      <w:r>
        <w:t xml:space="preserve">that higher scores for CESD correspond to worse depressive symptoms. If we</w:t>
      </w:r>
      <w:r>
        <w:t xml:space="preserve"> </w:t>
      </w:r>
      <w:r>
        <w:t xml:space="preserve">believe that patients for which the treatment does not work are more likely to</w:t>
      </w:r>
      <w:r>
        <w:t xml:space="preserve"> </w:t>
      </w:r>
      <w:r>
        <w:t xml:space="preserve">drop out of the study, then negative shifts in the CESD are unrealistic.</w:t>
      </w:r>
    </w:p>
    <w:p>
      <w:pPr>
        <w:pStyle w:val="BodyText"/>
      </w:pPr>
      <w:r>
        <w:t xml:space="preserve">In this report, all regimes are estimated through Q-learning. Further, all</w:t>
      </w:r>
      <w:r>
        <w:t xml:space="preserve"> </w:t>
      </w:r>
      <w:r>
        <w:t xml:space="preserve">analysis choices are the same as for the main analysis under MAR unless</w:t>
      </w:r>
      <w:r>
        <w:t xml:space="preserve"> </w:t>
      </w:r>
      <w:r>
        <w:t xml:space="preserve">mentioned otherwise. We further only present results with the circular mean as</w:t>
      </w:r>
      <w:r>
        <w:t xml:space="preserve"> </w:t>
      </w:r>
      <w:r>
        <w:t xml:space="preserve">aggregation method. We also consider both the original Browne data and the</w:t>
      </w:r>
      <w:r>
        <w:t xml:space="preserve"> </w:t>
      </w:r>
      <w:r>
        <w:t xml:space="preserve">Browne data where we artificially induced strong interaction effects; these latter data</w:t>
      </w:r>
      <w:r>
        <w:t xml:space="preserve"> </w:t>
      </w:r>
      <w:r>
        <w:t xml:space="preserve">are further referred to as the</w:t>
      </w:r>
      <w:r>
        <w:t xml:space="preserve"> </w:t>
      </w:r>
      <w:r>
        <w:t xml:space="preserve">“</w:t>
      </w:r>
      <w:r>
        <w:t xml:space="preserve">updated</w:t>
      </w:r>
      <w:r>
        <w:t xml:space="preserve">”</w:t>
      </w:r>
      <w:r>
        <w:t xml:space="preserve"> </w:t>
      </w:r>
      <w:r>
        <w:t xml:space="preserve">Browne data.</w:t>
      </w:r>
    </w:p>
    <w:bookmarkEnd w:id="20"/>
    <w:bookmarkStart w:id="25" w:name="estimated-values"/>
    <w:p>
      <w:pPr>
        <w:pStyle w:val="Heading1"/>
      </w:pPr>
      <w:r>
        <w:rPr>
          <w:rStyle w:val="SectionNumber"/>
        </w:rPr>
        <w:t xml:space="preserve">2</w:t>
      </w:r>
      <w:r>
        <w:tab/>
      </w:r>
      <w:r>
        <w:t xml:space="preserve">Estimated Values</w:t>
      </w:r>
    </w:p>
    <w:p>
      <w:pPr>
        <w:pStyle w:val="FirstParagraph"/>
      </w:pPr>
      <w:r>
        <w:t xml:space="preserve">In this section, we look at the estimated values of the aggregated regimes</w:t>
      </w:r>
      <w:r>
        <w:t xml:space="preserve"> </w:t>
      </w:r>
      <w:r>
        <w:t xml:space="preserve">across the MNAR scenarios. We follow the same approach as in the main analysis</w:t>
      </w:r>
      <w:r>
        <w:t xml:space="preserve"> </w:t>
      </w:r>
      <w:r>
        <w:t xml:space="preserve">to obtain the aggregated regimes and the corresponding estimated values. Figure</w:t>
      </w:r>
      <w:r>
        <w:t xml:space="preserve"> </w:t>
      </w:r>
      <w:r>
        <w:t xml:space="preserve">2.1</w:t>
      </w:r>
      <w:r>
        <w:t xml:space="preserve"> </w:t>
      </w:r>
      <w:r>
        <w:t xml:space="preserve">presents these estimated values along with 95% CIs</w:t>
      </w:r>
      <w:r>
        <w:t xml:space="preserve"> </w:t>
      </w:r>
      <w:r>
        <w:t xml:space="preserve">(+/- 1.96 times the pooled standard error). In addition to the regimes estimated</w:t>
      </w:r>
      <w:r>
        <w:t xml:space="preserve"> </w:t>
      </w:r>
      <w:r>
        <w:t xml:space="preserve">by Q-learning, this plot also contains the estimated values of the trivial</w:t>
      </w:r>
      <w:r>
        <w:t xml:space="preserve"> </w:t>
      </w:r>
      <w:r>
        <w:t xml:space="preserve">regimes.</w:t>
      </w:r>
    </w:p>
    <w:p>
      <w:pPr>
        <w:numPr>
          <w:ilvl w:val="0"/>
          <w:numId w:val="1001"/>
        </w:numPr>
        <w:pStyle w:val="Compact"/>
      </w:pPr>
      <w:r>
        <w:t xml:space="preserve">For both the original and the updated Browne data, the difference</w:t>
      </w:r>
      <w:r>
        <w:t xml:space="preserve"> </w:t>
      </w:r>
      <w:r>
        <w:t xml:space="preserve">between the one-size-fits-all regimes increases with the global shift:</w:t>
      </w:r>
    </w:p>
    <w:p>
      <w:pPr>
        <w:numPr>
          <w:ilvl w:val="1"/>
          <w:numId w:val="1002"/>
        </w:numPr>
        <w:pStyle w:val="Compact"/>
      </w:pPr>
      <w:r>
        <w:t xml:space="preserve">A large positive shift increases the difference.</w:t>
      </w:r>
    </w:p>
    <w:p>
      <w:pPr>
        <w:numPr>
          <w:ilvl w:val="1"/>
          <w:numId w:val="1002"/>
        </w:numPr>
        <w:pStyle w:val="Compact"/>
      </w:pPr>
      <w:r>
        <w:t xml:space="preserve">A large negative shift decreases the difference.</w:t>
      </w:r>
    </w:p>
    <w:p>
      <w:pPr>
        <w:numPr>
          <w:ilvl w:val="0"/>
          <w:numId w:val="1001"/>
        </w:numPr>
        <w:pStyle w:val="Compact"/>
      </w:pPr>
      <w:r>
        <w:t xml:space="preserve">The difference between the aggregated regime and the best one-size-fits-all</w:t>
      </w:r>
      <w:r>
        <w:t xml:space="preserve"> </w:t>
      </w:r>
      <w:r>
        <w:t xml:space="preserve">regime is relatively insensitive to a global shift.</w:t>
      </w:r>
    </w:p>
    <w:p>
      <w:pPr>
        <w:numPr>
          <w:ilvl w:val="1"/>
          <w:numId w:val="1003"/>
        </w:numPr>
        <w:pStyle w:val="Compact"/>
      </w:pPr>
      <w:r>
        <w:t xml:space="preserve">For the original Browne data, the estimated difference in values of the aggregated</w:t>
      </w:r>
      <w:r>
        <w:t xml:space="preserve"> </w:t>
      </w:r>
      <w:r>
        <w:t xml:space="preserve">and the best one-size-fits-all regime depends on the global shift only for</w:t>
      </w:r>
      <w:r>
        <w:t xml:space="preserve"> </w:t>
      </w:r>
      <w:r>
        <w:t xml:space="preserve">relatively large positive shifts. In addition, the confidence interval for the</w:t>
      </w:r>
      <w:r>
        <w:t xml:space="preserve"> </w:t>
      </w:r>
      <w:r>
        <w:t xml:space="preserve">value of the aggregated regime always contains the estimated value of the best</w:t>
      </w:r>
      <w:r>
        <w:t xml:space="preserve"> </w:t>
      </w:r>
      <w:r>
        <w:t xml:space="preserve">one-size-fits-all regime.</w:t>
      </w:r>
    </w:p>
    <w:p>
      <w:pPr>
        <w:numPr>
          <w:ilvl w:val="1"/>
          <w:numId w:val="1003"/>
        </w:numPr>
        <w:pStyle w:val="Compact"/>
      </w:pPr>
      <w:r>
        <w:t xml:space="preserve">For the updated Browne data, the estimated difference in values of the aggregated</w:t>
      </w:r>
      <w:r>
        <w:t xml:space="preserve"> </w:t>
      </w:r>
      <w:r>
        <w:t xml:space="preserve">and the best one-size-fits-all regime is practically independent of the global</w:t>
      </w:r>
      <w:r>
        <w:t xml:space="preserve"> </w:t>
      </w:r>
      <w:r>
        <w:t xml:space="preserve">shift. However, the length of the confidence intervals depends on the global</w:t>
      </w:r>
      <w:r>
        <w:t xml:space="preserve"> </w:t>
      </w:r>
      <w:r>
        <w:t xml:space="preserve">shift. Indeed, the lower limit of the confidence interval for the aggregated</w:t>
      </w:r>
      <w:r>
        <w:t xml:space="preserve"> </w:t>
      </w:r>
      <w:r>
        <w:t xml:space="preserve">regime approaches the estimated value of the best one-size-fits-all regime as</w:t>
      </w:r>
      <w:r>
        <w:t xml:space="preserve"> </w:t>
      </w:r>
      <w:r>
        <w:t xml:space="preserve">the global shift increases.</w:t>
      </w:r>
    </w:p>
    <w:p>
      <w:pPr>
        <w:pStyle w:val="CaptionedFigure"/>
      </w:pPr>
      <w:r>
        <w:drawing>
          <wp:inline>
            <wp:extent cx="5334000" cy="2133600"/>
            <wp:effectExtent b="0" l="0" r="0" t="0"/>
            <wp:docPr descr="Figure 2.1: Pooled estimates for the value of the aggregated regimes together with 95% confidence intervals under various MNAR scenarios. The pooled estimates and confidence interval are obtained by applying Rubin’s rules. The left-hand panel shows the results with the original Browne data and the right-hand panel shows the results with the updated Browne data." title="" id="22" name="Picture"/>
            <a:graphic>
              <a:graphicData uri="http://schemas.openxmlformats.org/drawingml/2006/picture">
                <pic:pic>
                  <pic:nvPicPr>
                    <pic:cNvPr descr="MNAR-summary_files/figure-docx/pooled-estimates-1.png" id="23"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4" w:name="fig:pooled-estimates"/>
      <w:bookmarkEnd w:id="24"/>
      <w:r>
        <w:t xml:space="preserve">Figure 2.1: Pooled estimates for the value of the aggregated regimes together with 95% confidence intervals under various MNAR scenarios. The pooled estimates and confidence interval are obtained by applying Rubin’s rules. The left-hand panel shows the results with the original Browne data and the right-hand panel shows the results with the updated Browne data.</w:t>
      </w:r>
    </w:p>
    <w:bookmarkEnd w:id="25"/>
    <w:bookmarkStart w:id="48" w:name="classification"/>
    <w:p>
      <w:pPr>
        <w:pStyle w:val="Heading1"/>
      </w:pPr>
      <w:r>
        <w:rPr>
          <w:rStyle w:val="SectionNumber"/>
        </w:rPr>
        <w:t xml:space="preserve">3</w:t>
      </w:r>
      <w:r>
        <w:tab/>
      </w:r>
      <w:r>
        <w:t xml:space="preserve">Classification</w:t>
      </w:r>
    </w:p>
    <w:p>
      <w:pPr>
        <w:pStyle w:val="FirstParagraph"/>
      </w:pPr>
      <w:r>
        <w:t xml:space="preserve">In this section, we look at how the aggregated regimes classify patients across</w:t>
      </w:r>
      <w:r>
        <w:t xml:space="preserve"> </w:t>
      </w:r>
      <w:r>
        <w:t xml:space="preserve">the MNAR scenarios. First, we describe this classification. Second, why try to</w:t>
      </w:r>
      <w:r>
        <w:t xml:space="preserve"> </w:t>
      </w:r>
      <w:r>
        <w:t xml:space="preserve">explain differences in these classifications.</w:t>
      </w:r>
    </w:p>
    <w:bookmarkStart w:id="38" w:name="descriptive"/>
    <w:p>
      <w:pPr>
        <w:pStyle w:val="Heading2"/>
      </w:pPr>
      <w:r>
        <w:rPr>
          <w:rStyle w:val="SectionNumber"/>
        </w:rPr>
        <w:t xml:space="preserve">3.1</w:t>
      </w:r>
      <w:r>
        <w:tab/>
      </w:r>
      <w:r>
        <w:t xml:space="preserve">Descriptive</w:t>
      </w:r>
    </w:p>
    <w:p>
      <w:pPr>
        <w:pStyle w:val="FirstParagraph"/>
      </w:pPr>
      <w:r>
        <w:t xml:space="preserve">In Figure</w:t>
      </w:r>
      <w:r>
        <w:t xml:space="preserve"> </w:t>
      </w:r>
      <w:r>
        <w:t xml:space="preserve">3.1</w:t>
      </w:r>
      <w:r>
        <w:t xml:space="preserve">, we plot the proportion of patients</w:t>
      </w:r>
      <w:r>
        <w:t xml:space="preserve"> </w:t>
      </w:r>
      <w:r>
        <w:t xml:space="preserve">classified to</w:t>
      </w:r>
      <w:r>
        <w:t xml:space="preserve"> </w:t>
      </w:r>
      <w:r>
        <w:rPr>
          <w:iCs/>
          <w:i/>
        </w:rPr>
        <w:t xml:space="preserve">Sertraline</w:t>
      </w:r>
      <w:r>
        <w:t xml:space="preserve"> </w:t>
      </w:r>
      <w:r>
        <w:t xml:space="preserve">by the aggregated regimes under various MNAR</w:t>
      </w:r>
      <w:r>
        <w:t xml:space="preserve"> </w:t>
      </w:r>
      <w:r>
        <w:t xml:space="preserve">scenarios. This proportion is clearly much more sensitive to MNAR for the original</w:t>
      </w:r>
      <w:r>
        <w:t xml:space="preserve"> </w:t>
      </w:r>
      <w:r>
        <w:t xml:space="preserve">Browne data than for the updated Browne data.</w:t>
      </w:r>
    </w:p>
    <w:p>
      <w:pPr>
        <w:pStyle w:val="CaptionedFigure"/>
      </w:pPr>
      <w:r>
        <w:drawing>
          <wp:inline>
            <wp:extent cx="5334000" cy="2133600"/>
            <wp:effectExtent b="0" l="0" r="0" t="0"/>
            <wp:docPr descr="Figure 3.1: The proportion of patients that are classified to Sertraline by the aggregated regime, under various MNAR scenarios. The left-hand panel shows the results with the original Browne data and the right-hand panel shows the results with the updated Browne data." title="" id="27" name="Picture"/>
            <a:graphic>
              <a:graphicData uri="http://schemas.openxmlformats.org/drawingml/2006/picture">
                <pic:pic>
                  <pic:nvPicPr>
                    <pic:cNvPr descr="MNAR-summary_files/figure-docx/proportion-zero-1.png" id="28"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9" w:name="fig:proportion-zero"/>
      <w:bookmarkEnd w:id="29"/>
      <w:r>
        <w:t xml:space="preserve">Figure 3.1: The proportion of patients that are classified to Sertraline by the aggregated regime, under various MNAR scenarios. The left-hand panel shows the results with the original Browne data and the right-hand panel shows the results with the updated Browne data.</w:t>
      </w:r>
    </w:p>
    <w:p>
      <w:pPr>
        <w:pStyle w:val="BodyText"/>
      </w:pPr>
      <w:r>
        <w:t xml:space="preserve">The marginal classification probabilities shown above do not directly reveal how</w:t>
      </w:r>
      <w:r>
        <w:t xml:space="preserve"> </w:t>
      </w:r>
      <w:r>
        <w:t xml:space="preserve">much the regimes differ in their classifications across MNAR scenarios.</w:t>
      </w:r>
      <w:r>
        <w:t xml:space="preserve"> </w:t>
      </w:r>
      <w:r>
        <w:t xml:space="preserve">Therefore, we also consider the 2x2 tables for comparing two regimes: (i) the</w:t>
      </w:r>
      <w:r>
        <w:t xml:space="preserve"> </w:t>
      </w:r>
      <w:r>
        <w:t xml:space="preserve">regime classifications under MAR and (ii) the regime classifications under a</w:t>
      </w:r>
      <w:r>
        <w:t xml:space="preserve"> </w:t>
      </w:r>
      <w:r>
        <w:t xml:space="preserve">particular MNAR scenario. This is illustrated in the following table.</w:t>
      </w:r>
    </w:p>
    <w:tbl>
      <w:tblPr>
        <w:tblStyle w:val="Table"/>
        <w:tblW w:type="pct" w:w="5000"/>
        <w:tblLook w:firstRow="1" w:lastRow="0" w:firstColumn="0" w:lastColumn="0" w:noHBand="0" w:noVBand="0" w:val="0020"/>
        <w:jc w:val="start"/>
        <w:tblLayout w:type="fixed"/>
      </w:tblPr>
      <w:tblGrid>
        <w:gridCol w:w="3277"/>
        <w:gridCol w:w="1911"/>
        <w:gridCol w:w="2731"/>
      </w:tblGrid>
      <w:tr>
        <w:trPr>
          <w:tblHeader w:val="true"/>
        </w:trPr>
        <w:tc>
          <w:tcPr/>
          <w:p>
            <w:pPr>
              <w:pStyle w:val="Compact"/>
            </w:pPr>
          </w:p>
        </w:tc>
        <w:tc>
          <w:tcPr/>
          <w:p>
            <w:pPr>
              <w:pStyle w:val="Compact"/>
              <w:jc w:val="left"/>
            </w:pPr>
            <w:r>
              <w:rPr>
                <w:iCs/>
                <w:i/>
              </w:rPr>
              <w:t xml:space="preserve">Sertraline (MAR)</w:t>
            </w:r>
          </w:p>
        </w:tc>
        <w:tc>
          <w:tcPr/>
          <w:p>
            <w:pPr>
              <w:pStyle w:val="Compact"/>
              <w:jc w:val="left"/>
            </w:pPr>
            <w:r>
              <w:rPr>
                <w:iCs/>
                <w:i/>
              </w:rPr>
              <w:t xml:space="preserve">Sertraline + IPT (MAR)</w:t>
            </w:r>
          </w:p>
        </w:tc>
      </w:tr>
      <w:tr>
        <w:tc>
          <w:tcPr/>
          <w:p>
            <w:pPr>
              <w:pStyle w:val="Compact"/>
              <w:jc w:val="left"/>
            </w:pPr>
            <w:r>
              <w:rPr>
                <w:iCs/>
                <w:i/>
                <w:bCs/>
                <w:b/>
              </w:rPr>
              <w:t xml:space="preserve">Sertraline (MNAR)</w:t>
            </w:r>
          </w:p>
        </w:tc>
        <w:tc>
          <w:tcPr/>
          <w:p>
            <w:pPr>
              <w:pStyle w:val="Compact"/>
              <w:jc w:val="left"/>
            </w:pPr>
            <m:oMath>
              <m:sSub>
                <m:e>
                  <m:r>
                    <m:t>p</m:t>
                  </m:r>
                </m:e>
                <m:sub>
                  <m:r>
                    <m:t>00</m:t>
                  </m:r>
                </m:sub>
              </m:sSub>
            </m:oMath>
          </w:p>
        </w:tc>
        <w:tc>
          <w:tcPr/>
          <w:p>
            <w:pPr>
              <w:pStyle w:val="Compact"/>
              <w:jc w:val="left"/>
            </w:pPr>
            <m:oMath>
              <m:sSub>
                <m:e>
                  <m:r>
                    <m:t>p</m:t>
                  </m:r>
                </m:e>
                <m:sub>
                  <m:r>
                    <m:t>01</m:t>
                  </m:r>
                </m:sub>
              </m:sSub>
            </m:oMath>
          </w:p>
        </w:tc>
      </w:tr>
      <w:tr>
        <w:tc>
          <w:tcPr/>
          <w:p>
            <w:pPr>
              <w:pStyle w:val="Compact"/>
              <w:jc w:val="left"/>
            </w:pPr>
            <w:r>
              <w:rPr>
                <w:iCs/>
                <w:i/>
                <w:bCs/>
                <w:b/>
              </w:rPr>
              <w:t xml:space="preserve">Sertraline + IPT (MNAR)</w:t>
            </w:r>
          </w:p>
        </w:tc>
        <w:tc>
          <w:tcPr/>
          <w:p>
            <w:pPr>
              <w:pStyle w:val="Compact"/>
              <w:jc w:val="left"/>
            </w:pPr>
            <m:oMath>
              <m:sSub>
                <m:e>
                  <m:r>
                    <m:t>p</m:t>
                  </m:r>
                </m:e>
                <m:sub>
                  <m:r>
                    <m:t>10</m:t>
                  </m:r>
                </m:sub>
              </m:sSub>
            </m:oMath>
          </w:p>
        </w:tc>
        <w:tc>
          <w:tcPr/>
          <w:p>
            <w:pPr>
              <w:pStyle w:val="Compact"/>
              <w:jc w:val="left"/>
            </w:pPr>
            <m:oMath>
              <m:sSub>
                <m:e>
                  <m:r>
                    <m:t>p</m:t>
                  </m:r>
                </m:e>
                <m:sub>
                  <m:r>
                    <m:t>11</m:t>
                  </m:r>
                </m:sub>
              </m:sSub>
            </m:oMath>
          </w:p>
        </w:tc>
      </w:tr>
    </w:tbl>
    <w:p>
      <w:pPr>
        <w:pStyle w:val="BodyText"/>
      </w:pPr>
      <w:r>
        <w:t xml:space="preserve">These cell probabilities are plotted in Figure</w:t>
      </w:r>
      <w:r>
        <w:t xml:space="preserve"> </w:t>
      </w:r>
      <w:r>
        <w:t xml:space="preserve">3.2</w:t>
      </w:r>
      <w:r>
        <w:t xml:space="preserve"> </w:t>
      </w:r>
      <w:r>
        <w:t xml:space="preserve">across the MNAR scenarios. Looking at the discordant cell probabilities</w:t>
      </w:r>
      <w:r>
        <w:t xml:space="preserve"> </w:t>
      </w:r>
      <w:r>
        <w:t xml:space="preserve">(</w:t>
      </w:r>
      <m:oMath>
        <m:sSub>
          <m:e>
            <m:r>
              <m:t>p</m:t>
            </m:r>
          </m:e>
          <m:sub>
            <m:r>
              <m:t>01</m:t>
            </m:r>
          </m:sub>
        </m:sSub>
      </m:oMath>
      <w:r>
        <w:t xml:space="preserve"> </w:t>
      </w:r>
      <w:r>
        <w:t xml:space="preserve">and</w:t>
      </w:r>
      <w:r>
        <w:t xml:space="preserve"> </w:t>
      </w:r>
      <m:oMath>
        <m:sSub>
          <m:e>
            <m:r>
              <m:t>p</m:t>
            </m:r>
          </m:e>
          <m:sub>
            <m:r>
              <m:t>10</m:t>
            </m:r>
          </m:sub>
        </m:sSub>
      </m:oMath>
      <w:r>
        <w:t xml:space="preserve">) may give us some insights into the differences between</w:t>
      </w:r>
      <w:r>
        <w:t xml:space="preserve"> </w:t>
      </w:r>
      <w:r>
        <w:t xml:space="preserve">the regimes under various MNAR scenarios. Indeed, we see that the</w:t>
      </w:r>
      <w:r>
        <w:t xml:space="preserve"> </w:t>
      </w:r>
      <w:r>
        <w:t xml:space="preserve">classifications are much less sensitive to the MNAR scenarios in the updated</w:t>
      </w:r>
      <w:r>
        <w:t xml:space="preserve"> </w:t>
      </w:r>
      <w:r>
        <w:t xml:space="preserve">Browne data than in the original Browne data. However, it is difficult to judge</w:t>
      </w:r>
      <w:r>
        <w:t xml:space="preserve"> </w:t>
      </w:r>
      <w:r>
        <w:t xml:space="preserve">the relative importance of these differences. We therefore also plot the</w:t>
      </w:r>
      <w:r>
        <w:t xml:space="preserve"> </w:t>
      </w:r>
      <w:r>
        <w:t xml:space="preserve">corresponding Cohen’s kappas in Figure</w:t>
      </w:r>
      <w:r>
        <w:t xml:space="preserve"> </w:t>
      </w:r>
      <w:r>
        <w:t xml:space="preserve">3.3</w:t>
      </w:r>
      <w:r>
        <w:t xml:space="preserve">. This corroborates</w:t>
      </w:r>
      <w:r>
        <w:t xml:space="preserve"> </w:t>
      </w:r>
      <w:r>
        <w:t xml:space="preserve">our conclusions from Figure</w:t>
      </w:r>
      <w:r>
        <w:t xml:space="preserve"> </w:t>
      </w:r>
      <w:r>
        <w:t xml:space="preserve">3.2</w:t>
      </w:r>
      <w:r>
        <w:t xml:space="preserve">:</w:t>
      </w:r>
    </w:p>
    <w:p>
      <w:pPr>
        <w:numPr>
          <w:ilvl w:val="0"/>
          <w:numId w:val="1004"/>
        </w:numPr>
        <w:pStyle w:val="Compact"/>
      </w:pPr>
      <w:r>
        <w:t xml:space="preserve">In the original Browne data, the patient classifications are very sensitive to the global shift.</w:t>
      </w:r>
    </w:p>
    <w:p>
      <w:pPr>
        <w:numPr>
          <w:ilvl w:val="0"/>
          <w:numId w:val="1004"/>
        </w:numPr>
        <w:pStyle w:val="Compact"/>
      </w:pPr>
      <w:r>
        <w:t xml:space="preserve">In the updated Browne data, the patient classifications are relatively</w:t>
      </w:r>
      <w:r>
        <w:t xml:space="preserve"> </w:t>
      </w:r>
      <w:r>
        <w:t xml:space="preserve">insensitive to the global shift. Cohen’s kappa remains large, even for extremely</w:t>
      </w:r>
      <w:r>
        <w:t xml:space="preserve"> </w:t>
      </w:r>
      <w:r>
        <w:t xml:space="preserve">large positive shifts.</w:t>
      </w:r>
    </w:p>
    <w:p>
      <w:pPr>
        <w:pStyle w:val="CaptionedFigure"/>
      </w:pPr>
      <w:r>
        <w:drawing>
          <wp:inline>
            <wp:extent cx="5334000" cy="2133600"/>
            <wp:effectExtent b="0" l="0" r="0" t="0"/>
            <wp:docPr descr="Figure 3.2: Cell probabilities in the 2x2 tables mentioned in the text under various MNAR scenarios. The left-hand panel shows the results with the original Browne data and the right-hand panel shows the results with the updated Browne data." title="" id="31" name="Picture"/>
            <a:graphic>
              <a:graphicData uri="http://schemas.openxmlformats.org/drawingml/2006/picture">
                <pic:pic>
                  <pic:nvPicPr>
                    <pic:cNvPr descr="MNAR-summary_files/figure-docx/cell-probabilities-1.png" id="32" name="Picture"/>
                    <pic:cNvPicPr>
                      <a:picLocks noChangeArrowheads="1" noChangeAspect="1"/>
                    </pic:cNvPicPr>
                  </pic:nvPicPr>
                  <pic:blipFill>
                    <a:blip r:embed="rId3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3" w:name="fig:cell-probabilities"/>
      <w:bookmarkEnd w:id="33"/>
      <w:r>
        <w:t xml:space="preserve">Figure 3.2: Cell probabilities in the 2x2 tables mentioned in the text under various MNAR scenarios. The left-hand panel shows the results with the original Browne data and the right-hand panel shows the results with the updated Browne data.</w:t>
      </w:r>
    </w:p>
    <w:p>
      <w:pPr>
        <w:pStyle w:val="CaptionedFigure"/>
      </w:pPr>
      <w:r>
        <w:drawing>
          <wp:inline>
            <wp:extent cx="5334000" cy="2133600"/>
            <wp:effectExtent b="0" l="0" r="0" t="0"/>
            <wp:docPr descr="Figure 3.3: Cohen’s kappa values in the 2x2 tables mentioned in the text under various MNAR scenarios. The left-hand panel shows the results with the original Browne data and the right-hand panel shows the results with the updated Browne data." title="" id="35" name="Picture"/>
            <a:graphic>
              <a:graphicData uri="http://schemas.openxmlformats.org/drawingml/2006/picture">
                <pic:pic>
                  <pic:nvPicPr>
                    <pic:cNvPr descr="MNAR-summary_files/figure-docx/cohen-kappa-1.png" id="36"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7" w:name="fig:cohen-kappa"/>
      <w:bookmarkEnd w:id="37"/>
      <w:r>
        <w:t xml:space="preserve">Figure 3.3: Cohen’s kappa values in the 2x2 tables mentioned in the text under various MNAR scenarios. The left-hand panel shows the results with the original Browne data and the right-hand panel shows the results with the updated Browne data.</w:t>
      </w:r>
    </w:p>
    <w:bookmarkEnd w:id="38"/>
    <w:bookmarkStart w:id="47" w:name="explanatory"/>
    <w:p>
      <w:pPr>
        <w:pStyle w:val="Heading2"/>
      </w:pPr>
      <w:r>
        <w:rPr>
          <w:rStyle w:val="SectionNumber"/>
        </w:rPr>
        <w:t xml:space="preserve">3.2</w:t>
      </w:r>
      <w:r>
        <w:tab/>
      </w:r>
      <w:r>
        <w:t xml:space="preserve">Explanatory</w:t>
      </w:r>
    </w:p>
    <w:p>
      <w:pPr>
        <w:pStyle w:val="FirstParagraph"/>
      </w:pPr>
      <w:r>
        <w:t xml:space="preserve">In the above subsection, we have seen that the classification of patients by the</w:t>
      </w:r>
      <w:r>
        <w:t xml:space="preserve"> </w:t>
      </w:r>
      <w:r>
        <w:t xml:space="preserve">aggregated regimes changes as the global shift changes In this subsection, we</w:t>
      </w:r>
      <w:r>
        <w:t xml:space="preserve"> </w:t>
      </w:r>
      <w:r>
        <w:t xml:space="preserve">try to explain this differential classification using the patient-level</w:t>
      </w:r>
      <w:r>
        <w:t xml:space="preserve"> </w:t>
      </w:r>
      <w:r>
        <w:t xml:space="preserve">treatment contrasts, that is,</w:t>
      </w:r>
    </w:p>
    <w:p>
      <w:pPr>
        <w:pStyle w:val="BodyText"/>
      </w:pPr>
      <m:oMathPara>
        <m:oMathParaPr>
          <m:jc m:val="center"/>
        </m:oMathParaPr>
        <m:oMath>
          <m:sSub>
            <m:e>
              <m:r>
                <m:t>C</m:t>
              </m:r>
            </m:e>
            <m:sub>
              <m:r>
                <m:t>i</m:t>
              </m:r>
            </m:sub>
          </m:sSub>
          <m:r>
            <m:rPr>
              <m:sty m:val="p"/>
            </m:rPr>
            <m:t>=</m:t>
          </m:r>
          <m:r>
            <m:t>E</m:t>
          </m:r>
          <m:d>
            <m:dPr>
              <m:begChr m:val="("/>
              <m:endChr m:val=")"/>
              <m:sepChr m:val=""/>
              <m:grow/>
            </m:dPr>
            <m:e>
              <m:sSub>
                <m:e>
                  <m:r>
                    <m:t>Y</m:t>
                  </m:r>
                </m:e>
                <m:sub>
                  <m:r>
                    <m:t>1</m:t>
                  </m:r>
                </m:sub>
              </m:sSub>
              <m:r>
                <m:rPr>
                  <m:sty m:val="p"/>
                </m:rPr>
                <m:t>|</m:t>
              </m:r>
              <m:r>
                <m:t>X</m:t>
              </m:r>
              <m:r>
                <m:rPr>
                  <m:sty m:val="p"/>
                </m:rPr>
                <m:t>=</m:t>
              </m:r>
              <m:sSub>
                <m:e>
                  <m:r>
                    <m:t>x</m:t>
                  </m:r>
                </m:e>
                <m:sub>
                  <m:r>
                    <m:t>i</m:t>
                  </m:r>
                </m:sub>
              </m:sSub>
            </m:e>
          </m:d>
          <m:r>
            <m:rPr>
              <m:sty m:val="p"/>
            </m:rPr>
            <m:t>−</m:t>
          </m:r>
          <m:r>
            <m:t>E</m:t>
          </m:r>
          <m:d>
            <m:dPr>
              <m:begChr m:val="("/>
              <m:endChr m:val=")"/>
              <m:sepChr m:val=""/>
              <m:grow/>
            </m:dPr>
            <m:e>
              <m:sSub>
                <m:e>
                  <m:r>
                    <m:t>Y</m:t>
                  </m:r>
                </m:e>
                <m:sub>
                  <m:r>
                    <m:t>0</m:t>
                  </m:r>
                </m:sub>
              </m:sSub>
              <m:r>
                <m:rPr>
                  <m:sty m:val="p"/>
                </m:rPr>
                <m:t>|</m:t>
              </m:r>
              <m:r>
                <m:t>X</m:t>
              </m:r>
              <m:r>
                <m:rPr>
                  <m:sty m:val="p"/>
                </m:rPr>
                <m:t>=</m:t>
              </m:r>
              <m:r>
                <m:t>x</m:t>
              </m:r>
            </m:e>
          </m:d>
          <m:r>
            <m:rPr>
              <m:sty m:val="p"/>
            </m:rPr>
            <m:t>.</m:t>
          </m:r>
        </m:oMath>
      </m:oMathPara>
    </w:p>
    <w:p>
      <w:pPr>
        <w:pStyle w:val="FirstParagraph"/>
      </w:pPr>
      <w:r>
        <w:t xml:space="preserve">In practice, we can only estimate these contrasts. We consider two estimators.</w:t>
      </w:r>
    </w:p>
    <w:p>
      <w:pPr>
        <w:numPr>
          <w:ilvl w:val="0"/>
          <w:numId w:val="1005"/>
        </w:numPr>
        <w:pStyle w:val="Compact"/>
      </w:pPr>
      <w:r>
        <w:t xml:space="preserve">Outcome regression-based. This estimator is derived from the outcome</w:t>
      </w:r>
      <w:r>
        <w:t xml:space="preserve"> </w:t>
      </w:r>
      <w:r>
        <w:t xml:space="preserve">regression estimator for the value of a fixed regime. Let</w:t>
      </w:r>
      <w:r>
        <w:t xml:space="preserve"> </w:t>
      </w:r>
      <m:oMath>
        <m:sSub>
          <m:e>
            <m:r>
              <m:t>μ</m:t>
            </m:r>
          </m:e>
          <m:sub>
            <m:r>
              <m:t>a</m:t>
            </m:r>
          </m:sub>
        </m:sSub>
        <m:d>
          <m:dPr>
            <m:begChr m:val="("/>
            <m:endChr m:val=")"/>
            <m:sepChr m:val=""/>
            <m:grow/>
          </m:dPr>
          <m:e>
            <m:sSub>
              <m:e>
                <m:r>
                  <m:t>x</m:t>
                </m:r>
              </m:e>
              <m:sub>
                <m:r>
                  <m:t>i</m:t>
                </m:r>
              </m:sub>
            </m:sSub>
            <m:r>
              <m:rPr>
                <m:sty m:val="p"/>
              </m:rPr>
              <m:t>;</m:t>
            </m:r>
            <m:acc>
              <m:accPr>
                <m:chr m:val="̂"/>
              </m:accPr>
              <m:e>
                <m:r>
                  <m:t>β</m:t>
                </m:r>
              </m:e>
            </m:acc>
          </m:e>
        </m:d>
        <m:r>
          <m:rPr>
            <m:sty m:val="p"/>
          </m:rPr>
          <m:t>=</m:t>
        </m:r>
        <m:r>
          <m:t>E</m:t>
        </m:r>
        <m:d>
          <m:dPr>
            <m:begChr m:val="("/>
            <m:endChr m:val=")"/>
            <m:sepChr m:val=""/>
            <m:grow/>
          </m:dPr>
          <m:e>
            <m:r>
              <m:t>Y</m:t>
            </m:r>
            <m:r>
              <m:rPr>
                <m:sty m:val="p"/>
              </m:rPr>
              <m:t>|</m:t>
            </m:r>
            <m:r>
              <m:t>X</m:t>
            </m:r>
            <m:r>
              <m:rPr>
                <m:sty m:val="p"/>
              </m:rPr>
              <m:t>=</m:t>
            </m:r>
            <m:sSub>
              <m:e>
                <m:r>
                  <m:t>x</m:t>
                </m:r>
              </m:e>
              <m:sub>
                <m:r>
                  <m:t>i</m:t>
                </m:r>
              </m:sub>
            </m:sSub>
            <m:r>
              <m:rPr>
                <m:sty m:val="p"/>
              </m:rPr>
              <m:t>,</m:t>
            </m:r>
            <m:r>
              <m:t>A</m:t>
            </m:r>
            <m:r>
              <m:rPr>
                <m:sty m:val="p"/>
              </m:rPr>
              <m:t>=</m:t>
            </m:r>
            <m:r>
              <m:t>a</m:t>
            </m:r>
            <m:r>
              <m:rPr>
                <m:sty m:val="p"/>
              </m:rPr>
              <m:t>;</m:t>
            </m:r>
            <m:acc>
              <m:accPr>
                <m:chr m:val="̂"/>
              </m:accPr>
              <m:e>
                <m:r>
                  <m:t>β</m:t>
                </m:r>
              </m:e>
            </m:acc>
          </m:e>
        </m:d>
      </m:oMath>
      <w:r>
        <w:t xml:space="preserve"> </w:t>
      </w:r>
      <w:r>
        <w:t xml:space="preserve">be the estimated regression</w:t>
      </w:r>
      <w:r>
        <w:t xml:space="preserve"> </w:t>
      </w:r>
      <w:r>
        <w:t xml:space="preserve">function (that was also used for Q-learning). The contrast is then estimated as</w:t>
      </w:r>
    </w:p>
    <w:p>
      <w:pPr>
        <w:pStyle w:val="Compact"/>
      </w:pPr>
      <m:oMathPara>
        <m:oMathParaPr>
          <m:jc m:val="center"/>
        </m:oMathParaPr>
        <m:oMath>
          <m:sSub>
            <m:e>
              <m:acc>
                <m:accPr>
                  <m:chr m:val="̂"/>
                </m:accPr>
                <m:e>
                  <m:r>
                    <m:t>C</m:t>
                  </m:r>
                </m:e>
              </m:acc>
            </m:e>
            <m:sub>
              <m:r>
                <m:t>i</m:t>
              </m:r>
              <m:r>
                <m:rPr>
                  <m:sty m:val="p"/>
                </m:rPr>
                <m:t>,</m:t>
              </m:r>
              <m:r>
                <m:t>O</m:t>
              </m:r>
              <m:r>
                <m:t>R</m:t>
              </m:r>
            </m:sub>
          </m:sSub>
          <m:r>
            <m:rPr>
              <m:sty m:val="p"/>
            </m:rPr>
            <m:t>=</m:t>
          </m:r>
          <m:sSub>
            <m:e>
              <m:r>
                <m:t>μ</m:t>
              </m:r>
            </m:e>
            <m:sub>
              <m:r>
                <m:t>1</m:t>
              </m:r>
            </m:sub>
          </m:sSub>
          <m:d>
            <m:dPr>
              <m:begChr m:val="("/>
              <m:endChr m:val=")"/>
              <m:sepChr m:val=""/>
              <m:grow/>
            </m:dPr>
            <m:e>
              <m:sSub>
                <m:e>
                  <m:r>
                    <m:t>x</m:t>
                  </m:r>
                </m:e>
                <m:sub>
                  <m:r>
                    <m:t>i</m:t>
                  </m:r>
                </m:sub>
              </m:sSub>
              <m:r>
                <m:rPr>
                  <m:sty m:val="p"/>
                </m:rPr>
                <m:t>;</m:t>
              </m:r>
              <m:acc>
                <m:accPr>
                  <m:chr m:val="̂"/>
                </m:accPr>
                <m:e>
                  <m:r>
                    <m:t>β</m:t>
                  </m:r>
                </m:e>
              </m:acc>
            </m:e>
          </m:d>
          <m:r>
            <m:rPr>
              <m:sty m:val="p"/>
            </m:rPr>
            <m:t>−</m:t>
          </m:r>
          <m:sSub>
            <m:e>
              <m:r>
                <m:t>μ</m:t>
              </m:r>
            </m:e>
            <m:sub>
              <m:r>
                <m:t>0</m:t>
              </m:r>
            </m:sub>
          </m:sSub>
          <m:d>
            <m:dPr>
              <m:begChr m:val="("/>
              <m:endChr m:val=")"/>
              <m:sepChr m:val=""/>
              <m:grow/>
            </m:dPr>
            <m:e>
              <m:sSub>
                <m:e>
                  <m:r>
                    <m:t>x</m:t>
                  </m:r>
                </m:e>
                <m:sub>
                  <m:r>
                    <m:t>i</m:t>
                  </m:r>
                </m:sub>
              </m:sSub>
              <m:r>
                <m:rPr>
                  <m:sty m:val="p"/>
                </m:rPr>
                <m:t>;</m:t>
              </m:r>
              <m:acc>
                <m:accPr>
                  <m:chr m:val="̂"/>
                </m:accPr>
                <m:e>
                  <m:r>
                    <m:t>β</m:t>
                  </m:r>
                </m:e>
              </m:acc>
            </m:e>
          </m:d>
          <m:r>
            <m:rPr>
              <m:sty m:val="p"/>
            </m:rPr>
            <m:t>.</m:t>
          </m:r>
        </m:oMath>
      </m:oMathPara>
    </w:p>
    <w:p>
      <w:pPr>
        <w:numPr>
          <w:ilvl w:val="0"/>
          <w:numId w:val="1005"/>
        </w:numPr>
        <w:pStyle w:val="Compact"/>
      </w:pPr>
      <w:r>
        <w:t xml:space="preserve">AIPWE-based. This estimator is derived from the AIPW estimator for the value</w:t>
      </w:r>
      <w:r>
        <w:t xml:space="preserve"> </w:t>
      </w:r>
      <w:r>
        <w:t xml:space="preserve">of a fixed regime. Let</w:t>
      </w:r>
      <w:r>
        <w:t xml:space="preserve"> </w:t>
      </w:r>
      <m:oMath>
        <m:r>
          <m:t>π</m:t>
        </m:r>
        <m:d>
          <m:dPr>
            <m:begChr m:val="("/>
            <m:endChr m:val=")"/>
            <m:sepChr m:val=""/>
            <m:grow/>
          </m:dPr>
          <m:e>
            <m:sSub>
              <m:e>
                <m:r>
                  <m:t>X</m:t>
                </m:r>
              </m:e>
              <m:sub>
                <m:r>
                  <m:t>i</m:t>
                </m:r>
              </m:sub>
            </m:sSub>
            <m:r>
              <m:rPr>
                <m:sty m:val="p"/>
              </m:rPr>
              <m:t>;</m:t>
            </m:r>
            <m:acc>
              <m:accPr>
                <m:chr m:val="̂"/>
              </m:accPr>
              <m:e>
                <m:r>
                  <m:t>γ</m:t>
                </m:r>
              </m:e>
            </m:acc>
          </m:e>
        </m:d>
      </m:oMath>
      <w:r>
        <w:t xml:space="preserve"> </w:t>
      </w:r>
      <w:r>
        <w:t xml:space="preserve">be the estimated propensity</w:t>
      </w:r>
      <w:r>
        <w:t xml:space="preserve"> </w:t>
      </w:r>
      <w:r>
        <w:t xml:space="preserve">score,</w:t>
      </w:r>
      <w:r>
        <w:t xml:space="preserve"> </w:t>
      </w:r>
      <m:oMath>
        <m:sSub>
          <m:e>
            <m:r>
              <m:t>A</m:t>
            </m:r>
          </m:e>
          <m:sub>
            <m:r>
              <m:t>i</m:t>
            </m:r>
          </m:sub>
        </m:sSub>
      </m:oMath>
      <w:r>
        <w:t xml:space="preserve"> </w:t>
      </w:r>
      <w:r>
        <w:t xml:space="preserve">the treatment group (</w:t>
      </w:r>
      <m:oMath>
        <m:r>
          <m:t>0</m:t>
        </m:r>
      </m:oMath>
      <w:r>
        <w:t xml:space="preserve"> </w:t>
      </w:r>
      <w:r>
        <w:t xml:space="preserve">for</w:t>
      </w:r>
      <w:r>
        <w:t xml:space="preserve"> </w:t>
      </w:r>
      <w:r>
        <w:rPr>
          <w:iCs/>
          <w:i/>
        </w:rPr>
        <w:t xml:space="preserve">Sertraline</w:t>
      </w:r>
      <w:r>
        <w:t xml:space="preserve"> </w:t>
      </w:r>
      <w:r>
        <w:t xml:space="preserve">and</w:t>
      </w:r>
      <w:r>
        <w:t xml:space="preserve"> </w:t>
      </w:r>
      <m:oMath>
        <m:r>
          <m:t>1</m:t>
        </m:r>
      </m:oMath>
      <w:r>
        <w:t xml:space="preserve"> </w:t>
      </w:r>
      <w:r>
        <w:t xml:space="preserve">for</w:t>
      </w:r>
      <w:r>
        <w:t xml:space="preserve"> </w:t>
      </w:r>
      <w:r>
        <w:rPr>
          <w:iCs/>
          <w:i/>
        </w:rPr>
        <w:t xml:space="preserve">Sertraline +</w:t>
      </w:r>
      <w:r>
        <w:rPr>
          <w:iCs/>
          <w:i/>
        </w:rPr>
        <w:t xml:space="preserve"> </w:t>
      </w:r>
      <w:r>
        <w:rPr>
          <w:iCs/>
          <w:i/>
        </w:rPr>
        <w:t xml:space="preserve">IPT</w:t>
      </w:r>
      <w:r>
        <w:t xml:space="preserve">), and the</w:t>
      </w:r>
      <w:r>
        <w:t xml:space="preserve"> </w:t>
      </w:r>
      <m:oMath>
        <m:sSub>
          <m:e>
            <m:r>
              <m:t>Y</m:t>
            </m:r>
          </m:e>
          <m:sub>
            <m:r>
              <m:t>i</m:t>
            </m:r>
          </m:sub>
        </m:sSub>
      </m:oMath>
      <w:r>
        <w:t xml:space="preserve"> </w:t>
      </w:r>
      <w:r>
        <w:t xml:space="preserve">the CESD score at 6 months for patient</w:t>
      </w:r>
      <w:r>
        <w:t xml:space="preserve"> </w:t>
      </w:r>
      <m:oMath>
        <m:r>
          <m:t>i</m:t>
        </m:r>
      </m:oMath>
      <w:r>
        <w:t xml:space="preserve">. The contrast is</w:t>
      </w:r>
      <w:r>
        <w:t xml:space="preserve"> </w:t>
      </w:r>
      <w:r>
        <w:t xml:space="preserve">then estimated as</w:t>
      </w:r>
    </w:p>
    <w:p>
      <w:pPr>
        <w:pStyle w:val="Compact"/>
      </w:pPr>
      <m:oMathPara>
        <m:oMathParaPr>
          <m:jc m:val="center"/>
        </m:oMathParaPr>
        <m:oMath>
          <m:sSub>
            <m:e>
              <m:acc>
                <m:accPr>
                  <m:chr m:val="̂"/>
                </m:accPr>
                <m:e>
                  <m:r>
                    <m:t>C</m:t>
                  </m:r>
                </m:e>
              </m:acc>
            </m:e>
            <m:sub>
              <m:r>
                <m:t>i</m:t>
              </m:r>
              <m:r>
                <m:rPr>
                  <m:sty m:val="p"/>
                </m:rPr>
                <m:t>,</m:t>
              </m:r>
              <m:r>
                <m:t>A</m:t>
              </m:r>
              <m:r>
                <m:t>I</m:t>
              </m:r>
              <m:r>
                <m:t>P</m:t>
              </m:r>
              <m:r>
                <m:t>W</m:t>
              </m:r>
              <m:r>
                <m:t>E</m:t>
              </m:r>
            </m:sub>
          </m:sSub>
          <m:r>
            <m:rPr>
              <m:sty m:val="p"/>
            </m:rPr>
            <m:t>=</m:t>
          </m:r>
          <m:f>
            <m:fPr>
              <m:type m:val="bar"/>
            </m:fPr>
            <m:num>
              <m:sSub>
                <m:e>
                  <m:r>
                    <m:t>A</m:t>
                  </m:r>
                </m:e>
                <m:sub>
                  <m:r>
                    <m:t>i</m:t>
                  </m:r>
                </m:sub>
              </m:sSub>
            </m:num>
            <m:den>
              <m:r>
                <m:t>π</m:t>
              </m:r>
              <m:d>
                <m:dPr>
                  <m:begChr m:val="("/>
                  <m:endChr m:val=")"/>
                  <m:sepChr m:val=""/>
                  <m:grow/>
                </m:dPr>
                <m:e>
                  <m:sSub>
                    <m:e>
                      <m:r>
                        <m:t>x</m:t>
                      </m:r>
                    </m:e>
                    <m:sub>
                      <m:r>
                        <m:t>i</m:t>
                      </m:r>
                    </m:sub>
                  </m:sSub>
                  <m:r>
                    <m:rPr>
                      <m:sty m:val="p"/>
                    </m:rPr>
                    <m:t>;</m:t>
                  </m:r>
                  <m:acc>
                    <m:accPr>
                      <m:chr m:val="̂"/>
                    </m:accPr>
                    <m:e>
                      <m:r>
                        <m:t>γ</m:t>
                      </m:r>
                    </m:e>
                  </m:acc>
                </m:e>
              </m:d>
            </m:den>
          </m:f>
          <m:sSub>
            <m:e>
              <m:r>
                <m:t>Y</m:t>
              </m:r>
            </m:e>
            <m:sub>
              <m:r>
                <m:t>i</m:t>
              </m:r>
            </m:sub>
          </m:sSub>
          <m:r>
            <m:rPr>
              <m:sty m:val="p"/>
            </m:rPr>
            <m:t>−</m:t>
          </m:r>
          <m:f>
            <m:fPr>
              <m:type m:val="bar"/>
            </m:fPr>
            <m:num>
              <m:r>
                <m:t>1</m:t>
              </m:r>
              <m:r>
                <m:rPr>
                  <m:sty m:val="p"/>
                </m:rPr>
                <m:t>−</m:t>
              </m:r>
              <m:sSub>
                <m:e>
                  <m:r>
                    <m:t>A</m:t>
                  </m:r>
                </m:e>
                <m:sub>
                  <m:r>
                    <m:t>i</m:t>
                  </m:r>
                </m:sub>
              </m:sSub>
            </m:num>
            <m:den>
              <m:r>
                <m:t>1</m:t>
              </m:r>
              <m:r>
                <m:rPr>
                  <m:sty m:val="p"/>
                </m:rPr>
                <m:t>−</m:t>
              </m:r>
              <m:r>
                <m:t>π</m:t>
              </m:r>
              <m:d>
                <m:dPr>
                  <m:begChr m:val="("/>
                  <m:endChr m:val=")"/>
                  <m:sepChr m:val=""/>
                  <m:grow/>
                </m:dPr>
                <m:e>
                  <m:sSub>
                    <m:e>
                      <m:r>
                        <m:t>x</m:t>
                      </m:r>
                    </m:e>
                    <m:sub>
                      <m:r>
                        <m:t>i</m:t>
                      </m:r>
                    </m:sub>
                  </m:sSub>
                  <m:r>
                    <m:rPr>
                      <m:sty m:val="p"/>
                    </m:rPr>
                    <m:t>;</m:t>
                  </m:r>
                  <m:acc>
                    <m:accPr>
                      <m:chr m:val="̂"/>
                    </m:accPr>
                    <m:e>
                      <m:r>
                        <m:t>γ</m:t>
                      </m:r>
                    </m:e>
                  </m:acc>
                </m:e>
              </m:d>
              <m:sSub>
                <m:e>
                  <m:r>
                    <m:t>Y</m:t>
                  </m:r>
                </m:e>
                <m:sub>
                  <m:r>
                    <m:t>i</m:t>
                  </m:r>
                </m:sub>
              </m:sSub>
            </m:den>
          </m:f>
          <m:r>
            <m:rPr>
              <m:sty m:val="p"/>
            </m:rPr>
            <m:t>−</m:t>
          </m:r>
          <m:f>
            <m:fPr>
              <m:type m:val="bar"/>
            </m:fPr>
            <m:num>
              <m:sSub>
                <m:e>
                  <m:r>
                    <m:t>A</m:t>
                  </m:r>
                </m:e>
                <m:sub>
                  <m:r>
                    <m:t>i</m:t>
                  </m:r>
                </m:sub>
              </m:sSub>
              <m:r>
                <m:rPr>
                  <m:sty m:val="p"/>
                </m:rPr>
                <m:t>−</m:t>
              </m:r>
              <m:r>
                <m:t>π</m:t>
              </m:r>
              <m:d>
                <m:dPr>
                  <m:begChr m:val="("/>
                  <m:endChr m:val=")"/>
                  <m:sepChr m:val=""/>
                  <m:grow/>
                </m:dPr>
                <m:e>
                  <m:sSub>
                    <m:e>
                      <m:r>
                        <m:t>x</m:t>
                      </m:r>
                    </m:e>
                    <m:sub>
                      <m:r>
                        <m:t>i</m:t>
                      </m:r>
                    </m:sub>
                  </m:sSub>
                  <m:r>
                    <m:rPr>
                      <m:sty m:val="p"/>
                    </m:rPr>
                    <m:t>;</m:t>
                  </m:r>
                  <m:acc>
                    <m:accPr>
                      <m:chr m:val="̂"/>
                    </m:accPr>
                    <m:e>
                      <m:r>
                        <m:t>γ</m:t>
                      </m:r>
                    </m:e>
                  </m:acc>
                </m:e>
              </m:d>
            </m:num>
            <m:den>
              <m:r>
                <m:t>π</m:t>
              </m:r>
              <m:d>
                <m:dPr>
                  <m:begChr m:val="("/>
                  <m:endChr m:val=")"/>
                  <m:sepChr m:val=""/>
                  <m:grow/>
                </m:dPr>
                <m:e>
                  <m:sSub>
                    <m:e>
                      <m:r>
                        <m:t>x</m:t>
                      </m:r>
                    </m:e>
                    <m:sub>
                      <m:r>
                        <m:t>i</m:t>
                      </m:r>
                    </m:sub>
                  </m:sSub>
                  <m:r>
                    <m:rPr>
                      <m:sty m:val="p"/>
                    </m:rPr>
                    <m:t>;</m:t>
                  </m:r>
                  <m:acc>
                    <m:accPr>
                      <m:chr m:val="̂"/>
                    </m:accPr>
                    <m:e>
                      <m:r>
                        <m:t>γ</m:t>
                      </m:r>
                    </m:e>
                  </m:acc>
                </m:e>
              </m:d>
            </m:den>
          </m:f>
          <m:sSub>
            <m:e>
              <m:r>
                <m:t>μ</m:t>
              </m:r>
            </m:e>
            <m:sub>
              <m:r>
                <m:t>1</m:t>
              </m:r>
            </m:sub>
          </m:sSub>
          <m:d>
            <m:dPr>
              <m:begChr m:val="("/>
              <m:endChr m:val=")"/>
              <m:sepChr m:val=""/>
              <m:grow/>
            </m:dPr>
            <m:e>
              <m:sSub>
                <m:e>
                  <m:r>
                    <m:t>x</m:t>
                  </m:r>
                </m:e>
                <m:sub>
                  <m:r>
                    <m:t>i</m:t>
                  </m:r>
                </m:sub>
              </m:sSub>
              <m:r>
                <m:rPr>
                  <m:sty m:val="p"/>
                </m:rPr>
                <m:t>;</m:t>
              </m:r>
              <m:acc>
                <m:accPr>
                  <m:chr m:val="̂"/>
                </m:accPr>
                <m:e>
                  <m:r>
                    <m:t>β</m:t>
                  </m:r>
                </m:e>
              </m:acc>
            </m:e>
          </m:d>
          <m:r>
            <m:rPr>
              <m:sty m:val="p"/>
            </m:rPr>
            <m:t>−</m:t>
          </m:r>
          <m:f>
            <m:fPr>
              <m:type m:val="bar"/>
            </m:fPr>
            <m:num>
              <m:sSub>
                <m:e>
                  <m:r>
                    <m:t>A</m:t>
                  </m:r>
                </m:e>
                <m:sub>
                  <m:r>
                    <m:t>i</m:t>
                  </m:r>
                </m:sub>
              </m:sSub>
              <m:r>
                <m:rPr>
                  <m:sty m:val="p"/>
                </m:rPr>
                <m:t>−</m:t>
              </m:r>
              <m:r>
                <m:t>π</m:t>
              </m:r>
              <m:d>
                <m:dPr>
                  <m:begChr m:val="("/>
                  <m:endChr m:val=")"/>
                  <m:sepChr m:val=""/>
                  <m:grow/>
                </m:dPr>
                <m:e>
                  <m:sSub>
                    <m:e>
                      <m:r>
                        <m:t>x</m:t>
                      </m:r>
                    </m:e>
                    <m:sub>
                      <m:r>
                        <m:t>i</m:t>
                      </m:r>
                    </m:sub>
                  </m:sSub>
                  <m:r>
                    <m:rPr>
                      <m:sty m:val="p"/>
                    </m:rPr>
                    <m:t>;</m:t>
                  </m:r>
                  <m:acc>
                    <m:accPr>
                      <m:chr m:val="̂"/>
                    </m:accPr>
                    <m:e>
                      <m:r>
                        <m:t>γ</m:t>
                      </m:r>
                    </m:e>
                  </m:acc>
                </m:e>
              </m:d>
            </m:num>
            <m:den>
              <m:r>
                <m:t>1</m:t>
              </m:r>
              <m:r>
                <m:rPr>
                  <m:sty m:val="p"/>
                </m:rPr>
                <m:t>−</m:t>
              </m:r>
              <m:r>
                <m:t>π</m:t>
              </m:r>
              <m:d>
                <m:dPr>
                  <m:begChr m:val="("/>
                  <m:endChr m:val=")"/>
                  <m:sepChr m:val=""/>
                  <m:grow/>
                </m:dPr>
                <m:e>
                  <m:sSub>
                    <m:e>
                      <m:r>
                        <m:t>x</m:t>
                      </m:r>
                    </m:e>
                    <m:sub>
                      <m:r>
                        <m:t>i</m:t>
                      </m:r>
                    </m:sub>
                  </m:sSub>
                  <m:r>
                    <m:rPr>
                      <m:sty m:val="p"/>
                    </m:rPr>
                    <m:t>;</m:t>
                  </m:r>
                  <m:acc>
                    <m:accPr>
                      <m:chr m:val="̂"/>
                    </m:accPr>
                    <m:e>
                      <m:r>
                        <m:t>γ</m:t>
                      </m:r>
                    </m:e>
                  </m:acc>
                </m:e>
              </m:d>
            </m:den>
          </m:f>
          <m:sSub>
            <m:e>
              <m:r>
                <m:t>μ</m:t>
              </m:r>
            </m:e>
            <m:sub>
              <m:r>
                <m:t>0</m:t>
              </m:r>
            </m:sub>
          </m:sSub>
          <m:d>
            <m:dPr>
              <m:begChr m:val="("/>
              <m:endChr m:val=")"/>
              <m:sepChr m:val=""/>
              <m:grow/>
            </m:dPr>
            <m:e>
              <m:sSub>
                <m:e>
                  <m:r>
                    <m:t>x</m:t>
                  </m:r>
                </m:e>
                <m:sub>
                  <m:r>
                    <m:t>i</m:t>
                  </m:r>
                </m:sub>
              </m:sSub>
              <m:r>
                <m:rPr>
                  <m:sty m:val="p"/>
                </m:rPr>
                <m:t>;</m:t>
              </m:r>
              <m:acc>
                <m:accPr>
                  <m:chr m:val="̂"/>
                </m:accPr>
                <m:e>
                  <m:r>
                    <m:t>β</m:t>
                  </m:r>
                </m:e>
              </m:acc>
            </m:e>
          </m:d>
          <m:r>
            <m:rPr>
              <m:sty m:val="p"/>
            </m:rPr>
            <m:t>.</m:t>
          </m:r>
        </m:oMath>
      </m:oMathPara>
    </w:p>
    <w:p>
      <w:pPr>
        <w:pStyle w:val="FirstParagraph"/>
      </w:pPr>
      <w:r>
        <w:t xml:space="preserve">For each patient, we compute the estimated contrast under MAR by first</w:t>
      </w:r>
      <w:r>
        <w:t xml:space="preserve"> </w:t>
      </w:r>
      <w:r>
        <w:t xml:space="preserve">estimating the contrast in each imputed data set. Second, these estimated</w:t>
      </w:r>
      <w:r>
        <w:t xml:space="preserve"> </w:t>
      </w:r>
      <w:r>
        <w:t xml:space="preserve">patient-level contrasts are pooled across imputations with Rubin’s rules. Next,</w:t>
      </w:r>
      <w:r>
        <w:t xml:space="preserve"> </w:t>
      </w:r>
      <w:r>
        <w:t xml:space="preserve">for each MNAR scenario we define two groups according to whether the patient’s</w:t>
      </w:r>
      <w:r>
        <w:t xml:space="preserve"> </w:t>
      </w:r>
      <w:r>
        <w:t xml:space="preserve">classification changes as compared to MAR (i.e., differential classification or</w:t>
      </w:r>
      <w:r>
        <w:t xml:space="preserve"> </w:t>
      </w:r>
      <w:r>
        <w:t xml:space="preserve">not).</w:t>
      </w:r>
    </w:p>
    <w:p>
      <w:pPr>
        <w:pStyle w:val="BodyText"/>
      </w:pPr>
      <w:r>
        <w:t xml:space="preserve">Figure</w:t>
      </w:r>
      <w:r>
        <w:t xml:space="preserve"> </w:t>
      </w:r>
      <w:r>
        <w:t xml:space="preserve">3.4</w:t>
      </w:r>
      <w:r>
        <w:t xml:space="preserve"> </w:t>
      </w:r>
      <w:r>
        <w:t xml:space="preserve">summarizes the distribution</w:t>
      </w:r>
      <w:r>
        <w:t xml:space="preserve"> </w:t>
      </w:r>
      <w:r>
        <w:t xml:space="preserve">of the absolute values of the estimated contrasts in each differential classification</w:t>
      </w:r>
      <w:r>
        <w:t xml:space="preserve"> </w:t>
      </w:r>
      <w:r>
        <w:t xml:space="preserve">group, stratified by the MNAR scenarios. Note that this plot only includes the results</w:t>
      </w:r>
      <w:r>
        <w:t xml:space="preserve"> </w:t>
      </w:r>
      <w:r>
        <w:t xml:space="preserve">for the original Browne data and the AIPWE-based estimator of the contrast.</w:t>
      </w:r>
      <w:r>
        <w:t xml:space="preserve"> </w:t>
      </w:r>
      <w:r>
        <w:t xml:space="preserve">The corresponding plots for the outcome regression-based estimator are presented</w:t>
      </w:r>
      <w:r>
        <w:t xml:space="preserve"> </w:t>
      </w:r>
      <w:r>
        <w:t xml:space="preserve">in Figure</w:t>
      </w:r>
      <w:r>
        <w:t xml:space="preserve"> </w:t>
      </w:r>
      <w:r>
        <w:t xml:space="preserve">3.5</w:t>
      </w:r>
      <w:r>
        <w:t xml:space="preserve">.</w:t>
      </w:r>
    </w:p>
    <w:p>
      <w:pPr>
        <w:pStyle w:val="BodyText"/>
      </w:pPr>
      <w:r>
        <w:t xml:space="preserve">The outcome regression-based contrast estimates clearly explain which patients</w:t>
      </w:r>
      <w:r>
        <w:t xml:space="preserve"> </w:t>
      </w:r>
      <w:r>
        <w:t xml:space="preserve">are differentially classified: patients with small estimated contrasts. These</w:t>
      </w:r>
      <w:r>
        <w:t xml:space="preserve"> </w:t>
      </w:r>
      <w:r>
        <w:t xml:space="preserve">are patients for which there is little difference between both treatment options</w:t>
      </w:r>
      <w:r>
        <w:t xml:space="preserve"> </w:t>
      </w:r>
      <w:r>
        <w:t xml:space="preserve">in terms of expected benefit. However, this is not clear when looking at the</w:t>
      </w:r>
      <w:r>
        <w:t xml:space="preserve"> </w:t>
      </w:r>
      <w:r>
        <w:t xml:space="preserve">AIPWE-based contrast estimates. One possible reason for this discrepancy is that</w:t>
      </w:r>
      <w:r>
        <w:t xml:space="preserve"> </w:t>
      </w:r>
      <w:r>
        <w:t xml:space="preserve">AIPWE-based estimates are much more noisy. Indeed, the range of the x-axis is</w:t>
      </w:r>
      <w:r>
        <w:t xml:space="preserve"> </w:t>
      </w:r>
      <w:r>
        <w:t xml:space="preserve">much wider in Figure</w:t>
      </w:r>
      <w:r>
        <w:t xml:space="preserve"> </w:t>
      </w:r>
      <w:r>
        <w:t xml:space="preserve">3.4</w:t>
      </w:r>
      <w:r>
        <w:t xml:space="preserve"> </w:t>
      </w:r>
      <w:r>
        <w:t xml:space="preserve">than in</w:t>
      </w:r>
      <w:r>
        <w:t xml:space="preserve"> </w:t>
      </w:r>
      <w:r>
        <w:t xml:space="preserve">Figure</w:t>
      </w:r>
      <w:r>
        <w:t xml:space="preserve"> </w:t>
      </w:r>
      <w:r>
        <w:t xml:space="preserve">3.5</w:t>
      </w:r>
      <w:r>
        <w:t xml:space="preserve">. A second possible reason is</w:t>
      </w:r>
      <w:r>
        <w:t xml:space="preserve"> </w:t>
      </w:r>
      <w:r>
        <w:t xml:space="preserve">that the regimes were estimated by Q-learning which is directly related to the</w:t>
      </w:r>
      <w:r>
        <w:t xml:space="preserve"> </w:t>
      </w:r>
      <w:r>
        <w:t xml:space="preserve">outcome regression based-estimator of the contrast estimates.</w:t>
      </w:r>
    </w:p>
    <w:p>
      <w:pPr>
        <w:pStyle w:val="CaptionedFigure"/>
      </w:pPr>
      <w:r>
        <w:drawing>
          <wp:inline>
            <wp:extent cx="5334000" cy="2133600"/>
            <wp:effectExtent b="0" l="0" r="0" t="0"/>
            <wp:docPr descr="Figure 3.4: Distribution of the AIPWE-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 title="" id="40" name="Picture"/>
            <a:graphic>
              <a:graphicData uri="http://schemas.openxmlformats.org/drawingml/2006/picture">
                <pic:pic>
                  <pic:nvPicPr>
                    <pic:cNvPr descr="MNAR-summary_files/figure-docx/contrasts-diff-classification-aipwe-1.png" id="41"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2" w:name="fig:contrasts-diff-classification-aipwe"/>
      <w:bookmarkEnd w:id="42"/>
      <w:r>
        <w:t xml:space="preserve">Figure 3.4: Distribution of the AIPWE-based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w:t>
      </w:r>
    </w:p>
    <w:p>
      <w:pPr>
        <w:pStyle w:val="CaptionedFigure"/>
      </w:pPr>
      <w:r>
        <w:drawing>
          <wp:inline>
            <wp:extent cx="5334000" cy="2133600"/>
            <wp:effectExtent b="0" l="0" r="0" t="0"/>
            <wp:docPr descr="Figure 3.5: Distribution of the outcome regression-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 title="" id="44" name="Picture"/>
            <a:graphic>
              <a:graphicData uri="http://schemas.openxmlformats.org/drawingml/2006/picture">
                <pic:pic>
                  <pic:nvPicPr>
                    <pic:cNvPr descr="MNAR-summary_files/figure-docx/contrasts-diff-classification-or-1.png" id="45"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6" w:name="fig:contrasts-diff-classification-or"/>
      <w:bookmarkEnd w:id="46"/>
      <w:r>
        <w:t xml:space="preserve">Figure 3.5: Distribution of the outcome regression-based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w:t>
      </w:r>
    </w:p>
    <w:bookmarkEnd w:id="47"/>
    <w:bookmarkEnd w:id="48"/>
    <w:bookmarkStart w:id="49" w:name="conclusions"/>
    <w:p>
      <w:pPr>
        <w:pStyle w:val="Heading1"/>
      </w:pPr>
      <w:r>
        <w:rPr>
          <w:rStyle w:val="SectionNumber"/>
        </w:rPr>
        <w:t xml:space="preserve">4</w:t>
      </w:r>
      <w:r>
        <w:tab/>
      </w:r>
      <w:r>
        <w:t xml:space="preserve">Conclusions</w:t>
      </w:r>
    </w:p>
    <w:p>
      <w:pPr>
        <w:pStyle w:val="FirstParagraph"/>
      </w:pPr>
      <w:r>
        <w:t xml:space="preserve">In the original Browne data, the aggregated regime is sensitive to MNAR</w:t>
      </w:r>
      <w:r>
        <w:t xml:space="preserve"> </w:t>
      </w:r>
      <w:r>
        <w:t xml:space="preserve">scenarios with a global shift in terms of the classification of patients.</w:t>
      </w:r>
      <w:r>
        <w:t xml:space="preserve"> </w:t>
      </w:r>
      <w:r>
        <w:t xml:space="preserve">However, in all these MNAR scenarios, the estimated values of the aggregated</w:t>
      </w:r>
      <w:r>
        <w:t xml:space="preserve"> </w:t>
      </w:r>
      <w:r>
        <w:t xml:space="preserve">regimes remain close to the corresponding estimated values of the best</w:t>
      </w:r>
      <w:r>
        <w:t xml:space="preserve"> </w:t>
      </w:r>
      <w:r>
        <w:t xml:space="preserve">one-size-fits-all regime. The conclusions of the analysis under MAR thus remain</w:t>
      </w:r>
      <w:r>
        <w:t xml:space="preserve"> </w:t>
      </w:r>
      <w:r>
        <w:t xml:space="preserve">valid under the global shift MNAR scenarios: there is no evidence of a useful</w:t>
      </w:r>
      <w:r>
        <w:t xml:space="preserve"> </w:t>
      </w:r>
      <w:r>
        <w:t xml:space="preserve">non-trivial treatment regime.</w:t>
      </w:r>
    </w:p>
    <w:p>
      <w:pPr>
        <w:pStyle w:val="BodyText"/>
      </w:pPr>
      <w:r>
        <w:t xml:space="preserve">In the updated Browne data, the aggregated regime is relatively insensitive to</w:t>
      </w:r>
      <w:r>
        <w:t xml:space="preserve"> </w:t>
      </w:r>
      <w:r>
        <w:t xml:space="preserve">the MNAR scenarios with a global shift. Both the classification of patients and</w:t>
      </w:r>
      <w:r>
        <w:t xml:space="preserve"> </w:t>
      </w:r>
      <w:r>
        <w:t xml:space="preserve">the aggregated regime’s value (relative to the best one-size-fits-all regime)</w:t>
      </w:r>
      <w:r>
        <w:t xml:space="preserve"> </w:t>
      </w:r>
      <w:r>
        <w:t xml:space="preserve">are not severely changed under these MNAR scenarios. The conclusions of the</w:t>
      </w:r>
      <w:r>
        <w:t xml:space="preserve"> </w:t>
      </w:r>
      <w:r>
        <w:t xml:space="preserve">analysis under MAR thus remain valid under the global shift MNAR scenarios:</w:t>
      </w:r>
      <w:r>
        <w:t xml:space="preserve"> </w:t>
      </w:r>
      <w:r>
        <w:t xml:space="preserve">there is evidence of a useful non-trivial treatment regime and most patients are</w:t>
      </w:r>
      <w:r>
        <w:t xml:space="preserve"> </w:t>
      </w:r>
      <w:r>
        <w:t xml:space="preserve">classified to the same treatment under MNAR.</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MNAR Sensitivity Analyses</dc:title>
  <dc:creator>Florian Stijven</dc:creator>
  <cp:keywords/>
  <dcterms:created xsi:type="dcterms:W3CDTF">2024-11-26T20:41:32Z</dcterms:created>
  <dcterms:modified xsi:type="dcterms:W3CDTF">2024-11-26T20:41:32Z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2024-11-26</vt:lpwstr>
  </property>
  <property fmtid="{D5CDD505-2E9C-101B-9397-08002B2CF9AE}" pid="3" name="editor_options">
    <vt:lpwstr/>
  </property>
  <property fmtid="{D5CDD505-2E9C-101B-9397-08002B2CF9AE}" pid="4" name="output">
    <vt:lpwstr/>
  </property>
</Properties>
</file>