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Data</w:t>
      </w:r>
      <w:r>
        <w:t xml:space="preserve"> </w:t>
      </w:r>
      <w:r>
        <w:t xml:space="preserve">Analysis</w:t>
      </w:r>
    </w:p>
    <w:p>
      <w:pPr>
        <w:pStyle w:val="Author"/>
      </w:pPr>
      <w:r>
        <w:t xml:space="preserve">Florian</w:t>
      </w:r>
      <w:r>
        <w:t xml:space="preserve"> </w:t>
      </w:r>
      <w:r>
        <w:t xml:space="preserve">Stijven</w:t>
      </w:r>
    </w:p>
    <w:p>
      <w:pPr>
        <w:pStyle w:val="Date"/>
      </w:pPr>
      <w:r>
        <w:t xml:space="preserve">2023-09-20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document, we examine the influence of the imputation model, i.e., global</w:t>
      </w:r>
      <w:r>
        <w:t xml:space="preserve"> </w:t>
      </w:r>
      <w:r>
        <w:t xml:space="preserve">imputation versus imputation per arm, on the estimation of optimal treatment</w:t>
      </w:r>
      <w:r>
        <w:t xml:space="preserve"> </w:t>
      </w:r>
      <w:r>
        <w:t xml:space="preserve">regimes in the</w:t>
      </w:r>
      <w:r>
        <w:t xml:space="preserve"> </w:t>
      </w:r>
      <w:r>
        <w:rPr>
          <w:iCs/>
          <w:i/>
        </w:rPr>
        <w:t xml:space="preserve">modified Browne data</w:t>
      </w:r>
      <w:r>
        <w:t xml:space="preserve">. The imputation per arm is a</w:t>
      </w:r>
      <w:r>
        <w:t xml:space="preserve"> </w:t>
      </w:r>
      <w:r>
        <w:rPr>
          <w:iCs/>
          <w:i/>
        </w:rPr>
        <w:t xml:space="preserve">proper</w:t>
      </w:r>
      <w:r>
        <w:t xml:space="preserve"> </w:t>
      </w:r>
      <w:r>
        <w:t xml:space="preserve">imputation while global imputation is improper.</w:t>
      </w:r>
    </w:p>
    <w:p>
      <w:pPr>
        <w:pStyle w:val="BodyText"/>
      </w:pPr>
      <w:r>
        <w:t xml:space="preserve">The</w:t>
      </w:r>
      <w:r>
        <w:t xml:space="preserve"> </w:t>
      </w:r>
      <w:r>
        <w:rPr>
          <w:iCs/>
          <w:i/>
        </w:rPr>
        <w:t xml:space="preserve">modified Browne data</w:t>
      </w:r>
      <w:r>
        <w:t xml:space="preserve"> </w:t>
      </w:r>
      <w:r>
        <w:t xml:space="preserve">are the Browne data where we artificially induce</w:t>
      </w:r>
      <w:r>
        <w:t xml:space="preserve"> </w:t>
      </w:r>
      <w:r>
        <w:t xml:space="preserve">relationships between baseline covariates and the outcome variable. In what</w:t>
      </w:r>
      <w:r>
        <w:t xml:space="preserve"> </w:t>
      </w:r>
      <w:r>
        <w:t xml:space="preserve">follows, we will only consider the CESD outcome measured at 6 months after</w:t>
      </w:r>
      <w:r>
        <w:t xml:space="preserve"> </w:t>
      </w:r>
      <w:r>
        <w:t xml:space="preserve">randomization (denoted by</w:t>
      </w:r>
      <w:r>
        <w:t xml:space="preserve"> </w:t>
      </w:r>
      <m:oMath>
        <m:r>
          <m:rPr>
            <m:nor/>
            <m:sty m:val="p"/>
            <m:scr m:val="monospace"/>
          </m:rPr>
          <m:t>cesd2</m:t>
        </m:r>
      </m:oMath>
      <w:r>
        <w:t xml:space="preserve">). For estimating the optimal regimes,</w:t>
      </w:r>
      <w:r>
        <w:t xml:space="preserve"> </w:t>
      </w:r>
      <w:r>
        <w:t xml:space="preserve">we still consider the change scores, however.</w:t>
      </w:r>
      <w:r>
        <w:t xml:space="preserve"> </w:t>
      </w:r>
      <w:r>
        <w:t xml:space="preserve">In the following bullet point, a tilde indicates the updated value for CESD at 6</w:t>
      </w:r>
      <w:r>
        <w:t xml:space="preserve"> </w:t>
      </w:r>
      <w:r>
        <w:t xml:space="preserve">months. Treatment</w:t>
      </w:r>
      <w:r>
        <w:t xml:space="preserve"> </w:t>
      </w:r>
      <m:oMath>
        <m:r>
          <m:t>0</m:t>
        </m:r>
      </m:oMath>
      <w:r>
        <w:t xml:space="preserve"> </w:t>
      </w:r>
      <w:r>
        <w:t xml:space="preserve">is</w:t>
      </w:r>
      <w:r>
        <w:t xml:space="preserve"> </w:t>
      </w:r>
      <w:r>
        <w:t xml:space="preserve">“</w:t>
      </w:r>
      <w:r>
        <w:t xml:space="preserve">Sertraline alone</w:t>
      </w:r>
      <w:r>
        <w:t xml:space="preserve">”</w:t>
      </w:r>
      <w:r>
        <w:t xml:space="preserve"> </w:t>
      </w:r>
      <w:r>
        <w:t xml:space="preserve">and treatment</w:t>
      </w:r>
      <w:r>
        <w:t xml:space="preserve"> </w:t>
      </w:r>
      <m:oMath>
        <m:r>
          <m:t>1</m:t>
        </m:r>
      </m:oMath>
      <w:r>
        <w:t xml:space="preserve"> </w:t>
      </w:r>
      <w:r>
        <w:t xml:space="preserve">is</w:t>
      </w:r>
      <w:r>
        <w:t xml:space="preserve"> </w:t>
      </w:r>
      <w:r>
        <w:t xml:space="preserve">“</w:t>
      </w:r>
      <w:r>
        <w:t xml:space="preserve">Sertraline and</w:t>
      </w:r>
      <w:r>
        <w:t xml:space="preserve"> </w:t>
      </w:r>
      <w:r>
        <w:t xml:space="preserve">IPT</w:t>
      </w:r>
      <w:r>
        <w:t xml:space="preserve">”</w:t>
      </w:r>
      <w:r>
        <w:t xml:space="preserve">.</w:t>
      </w:r>
    </w:p>
    <w:p>
      <w:pPr>
        <w:numPr>
          <w:ilvl w:val="0"/>
          <w:numId w:val="1001"/>
        </w:numPr>
        <w:pStyle w:val="Compact"/>
      </w:pPr>
      <w:r>
        <w:rPr>
          <w:bCs/>
          <w:b/>
        </w:rPr>
        <w:t xml:space="preserve">Update 1.</w:t>
      </w:r>
      <w:r>
        <w:t xml:space="preserve"> </w:t>
      </w:r>
      <w:r>
        <w:t xml:space="preserve">The outcome value is modified as follows,</w:t>
      </w:r>
    </w:p>
    <w:p>
      <w:pPr>
        <w:pStyle w:val="Compact"/>
      </w:pPr>
      <m:oMathPara>
        <m:oMathParaPr>
          <m:jc m:val="center"/>
        </m:oMathParaPr>
        <m:oMath>
          <m:acc>
            <m:accPr>
              <m:chr m:val="̃"/>
            </m:accPr>
            <m:e>
              <m:r>
                <m:rPr>
                  <m:nor/>
                  <m:sty m:val="p"/>
                  <m:scr m:val="monospace"/>
                </m:rPr>
                <m:t>cesd2</m:t>
              </m:r>
            </m:e>
          </m:acc>
          <m:r>
            <m:rPr>
              <m:sty m:val="p"/>
            </m:rPr>
            <m:t>=</m:t>
          </m:r>
          <m:r>
            <m:rPr>
              <m:nor/>
              <m:sty m:val="p"/>
              <m:scr m:val="monospace"/>
            </m:rPr>
            <m:t>cesd2</m:t>
          </m:r>
          <m:r>
            <m:rPr>
              <m:sty m:val="p"/>
            </m:rPr>
            <m:t>−</m:t>
          </m:r>
          <m:d>
            <m:dPr>
              <m:begChr m:val="("/>
              <m:endChr m:val=")"/>
              <m:sepChr m:val=""/>
              <m:grow/>
            </m:dPr>
            <m:e>
              <m:r>
                <m:t>0.30</m:t>
              </m:r>
              <m:r>
                <m:rPr>
                  <m:sty m:val="p"/>
                </m:rPr>
                <m:t>⋅</m:t>
              </m:r>
              <m:d>
                <m:dPr>
                  <m:begChr m:val="("/>
                  <m:endChr m:val=")"/>
                  <m:sepChr m:val=""/>
                  <m:grow/>
                </m:dPr>
                <m:e>
                  <m:r>
                    <m:rPr>
                      <m:nor/>
                      <m:sty m:val="p"/>
                      <m:scr m:val="monospace"/>
                    </m:rPr>
                    <m:t>cesd</m:t>
                  </m:r>
                  <m:r>
                    <m:rPr>
                      <m:sty m:val="p"/>
                    </m:rPr>
                    <m:t>−</m:t>
                  </m:r>
                  <m:r>
                    <m:t>40</m:t>
                  </m:r>
                </m:e>
              </m:d>
              <m:r>
                <m:rPr>
                  <m:sty m:val="p"/>
                </m:rPr>
                <m:t>−</m:t>
              </m:r>
              <m:r>
                <m:t>6</m:t>
              </m:r>
              <m:r>
                <m:rPr>
                  <m:sty m:val="p"/>
                </m:rPr>
                <m:t>⋅</m:t>
              </m:r>
              <m:r>
                <m:rPr>
                  <m:nor/>
                  <m:sty m:val="p"/>
                  <m:scr m:val="monospace"/>
                </m:rPr>
                <m:t>past_MDD</m:t>
              </m:r>
            </m:e>
          </m:d>
          <m:r>
            <m:rPr>
              <m:sty m:val="p"/>
            </m:rPr>
            <m:t>⋅</m:t>
          </m:r>
          <m:r>
            <m:t>I</m:t>
          </m:r>
          <m:d>
            <m:dPr>
              <m:begChr m:val="("/>
              <m:endChr m:val=")"/>
              <m:sepChr m:val=""/>
              <m:grow/>
            </m:dPr>
            <m:e>
              <m:r>
                <m:rPr>
                  <m:nor/>
                  <m:sty m:val="p"/>
                  <m:scr m:val="monospace"/>
                </m:rPr>
                <m:t>group</m:t>
              </m:r>
              <m:r>
                <m:rPr>
                  <m:sty m:val="p"/>
                </m:rPr>
                <m:t>=</m:t>
              </m:r>
              <m:r>
                <m:t>1</m:t>
              </m:r>
            </m:e>
          </m:d>
          <m:r>
            <m:rPr>
              <m:sty m:val="p"/>
            </m:rPr>
            <m:t>+</m:t>
          </m:r>
          <m:r>
            <m:t>0.20</m:t>
          </m:r>
          <m:r>
            <m:rPr>
              <m:sty m:val="p"/>
            </m:rPr>
            <m:t>⋅</m:t>
          </m:r>
          <m:d>
            <m:dPr>
              <m:begChr m:val="("/>
              <m:endChr m:val=")"/>
              <m:sepChr m:val=""/>
              <m:grow/>
            </m:dPr>
            <m:e>
              <m:r>
                <m:rPr>
                  <m:nor/>
                  <m:sty m:val="p"/>
                  <m:scr m:val="monospace"/>
                </m:rPr>
                <m:t>cesd</m:t>
              </m:r>
              <m:r>
                <m:rPr>
                  <m:sty m:val="p"/>
                </m:rPr>
                <m:t>−</m:t>
              </m:r>
              <m:r>
                <m:t>40</m:t>
              </m:r>
            </m:e>
          </m:d>
          <m:r>
            <m:rPr>
              <m:sty m:val="p"/>
            </m:rPr>
            <m:t>+</m:t>
          </m:r>
          <m:r>
            <m:t>4</m:t>
          </m:r>
          <m:r>
            <m:rPr>
              <m:sty m:val="p"/>
            </m:rPr>
            <m:t>⋅</m:t>
          </m:r>
          <m:r>
            <m:rPr>
              <m:nor/>
              <m:sty m:val="p"/>
              <m:scr m:val="monospace"/>
            </m:rPr>
            <m:t>past_MDD</m:t>
          </m:r>
          <m:r>
            <m:rPr>
              <m:sty m:val="p"/>
            </m:rPr>
            <m:t>.</m:t>
          </m:r>
        </m:oMath>
      </m:oMathPara>
    </w:p>
    <w:p>
      <w:pPr>
        <w:numPr>
          <w:ilvl w:val="0"/>
          <w:numId w:val="1000"/>
        </w:numPr>
        <w:pStyle w:val="Compact"/>
      </w:pPr>
      <w:r>
        <w:t xml:space="preserve">This update changes the interaction effects. Patients will thus benefit</w:t>
      </w:r>
      <w:r>
        <w:t xml:space="preserve"> </w:t>
      </w:r>
      <w:r>
        <w:t xml:space="preserve">more from the addition of IPT to Sertraline if they have a more severe</w:t>
      </w:r>
      <w:r>
        <w:t xml:space="preserve"> </w:t>
      </w:r>
      <w:r>
        <w:t xml:space="preserve">depression at baseline (larger baseline CESD and past MDD).</w:t>
      </w:r>
    </w:p>
    <w:p>
      <w:pPr>
        <w:pStyle w:val="FirstParagraph"/>
      </w:pPr>
      <w:r>
        <w:t xml:space="preserve">In the following analyses, we will only consider 40 imputations instead of the</w:t>
      </w:r>
      <w:r>
        <w:t xml:space="preserve"> </w:t>
      </w:r>
      <w:r>
        <w:t xml:space="preserve">200 imputations used for analyzing the original Browne data. This limits the</w:t>
      </w:r>
      <w:r>
        <w:t xml:space="preserve"> </w:t>
      </w:r>
      <w:r>
        <w:t xml:space="preserve">computational burden. The</w:t>
      </w:r>
      <w:r>
        <w:t xml:space="preserve"> </w:t>
      </w:r>
      <w:r>
        <w:rPr>
          <w:iCs/>
          <w:i/>
        </w:rPr>
        <w:t xml:space="preserve">per arm</w:t>
      </w:r>
      <w:r>
        <w:t xml:space="preserve"> </w:t>
      </w:r>
      <w:r>
        <w:t xml:space="preserve">and</w:t>
      </w:r>
      <w:r>
        <w:t xml:space="preserve"> </w:t>
      </w:r>
      <w:r>
        <w:rPr>
          <w:iCs/>
          <w:i/>
        </w:rPr>
        <w:t xml:space="preserve">global</w:t>
      </w:r>
      <w:r>
        <w:t xml:space="preserve"> </w:t>
      </w:r>
      <w:r>
        <w:t xml:space="preserve">imputation models are the same</w:t>
      </w:r>
      <w:r>
        <w:t xml:space="preserve"> </w:t>
      </w:r>
      <w:r>
        <w:t xml:space="preserve">as for the analyses of the original Browne data.</w:t>
      </w:r>
    </w:p>
    <w:bookmarkStart w:id="32" w:name="choice-of-imputation-model"/>
    <w:p>
      <w:pPr>
        <w:pStyle w:val="Heading1"/>
      </w:pPr>
      <w:r>
        <w:rPr>
          <w:rStyle w:val="SectionNumber"/>
        </w:rPr>
        <w:t xml:space="preserve">1</w:t>
      </w:r>
      <w:r>
        <w:tab/>
      </w:r>
      <w:r>
        <w:t xml:space="preserve">Choice of Imputation Model</w:t>
      </w:r>
    </w:p>
    <w:p>
      <w:pPr>
        <w:pStyle w:val="FirstParagraph"/>
      </w:pPr>
      <w:r>
        <w:t xml:space="preserve">In this section, we look at the influence of the imputation model on the</w:t>
      </w:r>
      <w:r>
        <w:t xml:space="preserve"> </w:t>
      </w:r>
      <w:r>
        <w:t xml:space="preserve">estimation of regimes by Q-learning and value search estimation. We only look at</w:t>
      </w:r>
      <w:r>
        <w:t xml:space="preserve"> </w:t>
      </w:r>
      <w:r>
        <w:t xml:space="preserve">the update 1 data.</w:t>
      </w:r>
    </w:p>
    <w:bookmarkStart w:id="23" w:name="estimated-values-of-estimated-regimes"/>
    <w:p>
      <w:pPr>
        <w:pStyle w:val="Heading2"/>
      </w:pPr>
      <w:r>
        <w:rPr>
          <w:rStyle w:val="SectionNumber"/>
        </w:rPr>
        <w:t xml:space="preserve">1.1</w:t>
      </w:r>
      <w:r>
        <w:tab/>
      </w:r>
      <w:r>
        <w:t xml:space="preserve">Estimated Values of Estimated Regimes</w:t>
      </w:r>
    </w:p>
    <w:p>
      <w:pPr>
        <w:pStyle w:val="FirstParagraph"/>
      </w:pPr>
      <w:r>
        <w:t xml:space="preserve">In the following histograms, the estimated values of the estimated regimes are</w:t>
      </w:r>
      <w:r>
        <w:t xml:space="preserve"> </w:t>
      </w:r>
      <w:r>
        <w:t xml:space="preserve">summarized across the 40 imputations. These histograms show that imputation per</w:t>
      </w:r>
      <w:r>
        <w:t xml:space="preserve"> </w:t>
      </w:r>
      <w:r>
        <w:t xml:space="preserve">arm leads to larger estimated values.</w:t>
      </w:r>
    </w:p>
    <w:p>
      <w:pPr>
        <w:pStyle w:val="CaptionedFigure"/>
      </w:pPr>
      <w:r>
        <w:drawing>
          <wp:inline>
            <wp:extent cx="5334000" cy="2133600"/>
            <wp:effectExtent b="0" l="0" r="0" t="0"/>
            <wp:docPr descr="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 title="" id="21" name="Picture"/>
            <a:graphic>
              <a:graphicData uri="http://schemas.openxmlformats.org/drawingml/2006/picture">
                <pic:pic>
                  <pic:nvPicPr>
                    <pic:cNvPr descr="artificial-data-summary_files/figure-docx/unnamed-chunk-13-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w:t>
      </w:r>
    </w:p>
    <w:p>
      <w:pPr>
        <w:pStyle w:val="BodyText"/>
      </w:pPr>
      <w:r>
        <w:t xml:space="preserve">The following table summarizes the above results. This confirms our previous</w:t>
      </w:r>
      <w:r>
        <w:t xml:space="preserve"> </w:t>
      </w:r>
      <w:r>
        <w:t xml:space="preserve">conclusions.</w:t>
      </w:r>
    </w:p>
    <w:p>
      <w:pPr>
        <w:pStyle w:val="TableCaption"/>
      </w:pPr>
      <w:r>
        <w:t xml:space="preserve">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w:t>
      </w:r>
    </w:p>
    <w:tbl>
      <w:tblPr>
        <w:tblStyle w:val="Table"/>
        <w:tblW w:type="auto" w:w="0"/>
        <w:tblLook w:firstRow="1" w:lastRow="0" w:firstColumn="0" w:lastColumn="0" w:noHBand="0" w:noVBand="0" w:val="0020"/>
        <w:jc w:val="start"/>
        <w:tblCaption w:val="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
      </w:tblPr>
      <w:tblGrid>
        <w:gridCol w:w="1980"/>
        <w:gridCol w:w="1980"/>
        <w:gridCol w:w="1980"/>
        <w:gridCol w:w="1980"/>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Mean Estimated Value</w:t>
            </w:r>
          </w:p>
        </w:tc>
        <w:tc>
          <w:tcPr/>
          <w:p>
            <w:pPr>
              <w:pStyle w:val="Compact"/>
              <w:jc w:val="right"/>
            </w:pPr>
            <w:r>
              <w:t xml:space="preserve">Between Imputation SD</w:t>
            </w:r>
          </w:p>
        </w:tc>
      </w:tr>
      <w:tr>
        <w:tc>
          <w:tcPr/>
          <w:p>
            <w:pPr>
              <w:pStyle w:val="Compact"/>
              <w:jc w:val="left"/>
            </w:pPr>
            <w:r>
              <w:t xml:space="preserve">Global</w:t>
            </w:r>
          </w:p>
        </w:tc>
        <w:tc>
          <w:tcPr/>
          <w:p>
            <w:pPr>
              <w:pStyle w:val="Compact"/>
              <w:jc w:val="left"/>
            </w:pPr>
            <w:r>
              <w:t xml:space="preserve">Q-learning</w:t>
            </w:r>
          </w:p>
        </w:tc>
        <w:tc>
          <w:tcPr/>
          <w:p>
            <w:pPr>
              <w:pStyle w:val="Compact"/>
              <w:jc w:val="right"/>
            </w:pPr>
            <w:r>
              <w:t xml:space="preserve">14.230</w:t>
            </w:r>
          </w:p>
        </w:tc>
        <w:tc>
          <w:tcPr/>
          <w:p>
            <w:pPr>
              <w:pStyle w:val="Compact"/>
              <w:jc w:val="right"/>
            </w:pPr>
            <w:r>
              <w:t xml:space="preserve">0.347</w:t>
            </w:r>
          </w:p>
        </w:tc>
      </w:tr>
      <w:tr>
        <w:tc>
          <w:tcPr/>
          <w:p>
            <w:pPr>
              <w:pStyle w:val="Compact"/>
              <w:jc w:val="left"/>
            </w:pPr>
            <w:r>
              <w:t xml:space="preserve">Per Arm</w:t>
            </w:r>
          </w:p>
        </w:tc>
        <w:tc>
          <w:tcPr/>
          <w:p>
            <w:pPr>
              <w:pStyle w:val="Compact"/>
              <w:jc w:val="left"/>
            </w:pPr>
            <w:r>
              <w:t xml:space="preserve">Q-learning</w:t>
            </w:r>
          </w:p>
        </w:tc>
        <w:tc>
          <w:tcPr/>
          <w:p>
            <w:pPr>
              <w:pStyle w:val="Compact"/>
              <w:jc w:val="right"/>
            </w:pPr>
            <w:r>
              <w:t xml:space="preserve">14.578</w:t>
            </w:r>
          </w:p>
        </w:tc>
        <w:tc>
          <w:tcPr/>
          <w:p>
            <w:pPr>
              <w:pStyle w:val="Compact"/>
              <w:jc w:val="right"/>
            </w:pPr>
            <w:r>
              <w:t xml:space="preserve">0.246</w:t>
            </w:r>
          </w:p>
        </w:tc>
      </w:tr>
      <w:tr>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14.831</w:t>
            </w:r>
          </w:p>
        </w:tc>
        <w:tc>
          <w:tcPr/>
          <w:p>
            <w:pPr>
              <w:pStyle w:val="Compact"/>
              <w:jc w:val="right"/>
            </w:pPr>
            <w:r>
              <w:t xml:space="preserve">0.265</w:t>
            </w:r>
          </w:p>
        </w:tc>
      </w:tr>
      <w:tr>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15.145</w:t>
            </w:r>
          </w:p>
        </w:tc>
        <w:tc>
          <w:tcPr/>
          <w:p>
            <w:pPr>
              <w:pStyle w:val="Compact"/>
              <w:jc w:val="right"/>
            </w:pPr>
            <w:r>
              <w:t xml:space="preserve">0.252</w:t>
            </w:r>
          </w:p>
        </w:tc>
      </w:tr>
    </w:tbl>
    <w:bookmarkEnd w:id="23"/>
    <w:bookmarkStart w:id="27" w:name="Xe2959a3cdac0c3221eec09956267aec6bfe5b36"/>
    <w:p>
      <w:pPr>
        <w:pStyle w:val="Heading2"/>
      </w:pPr>
      <w:r>
        <w:rPr>
          <w:rStyle w:val="SectionNumber"/>
        </w:rPr>
        <w:t xml:space="preserve">1.2</w:t>
      </w:r>
      <w:r>
        <w:tab/>
      </w:r>
      <w:r>
        <w:t xml:space="preserve">Distance from One-Size-Fits-All of Estimated Regimes</w:t>
      </w:r>
    </w:p>
    <w:p>
      <w:pPr>
        <w:pStyle w:val="FirstParagraph"/>
      </w:pPr>
      <w:r>
        <w:t xml:space="preserve">In the following figure and table, the same estimated regimes as above are summarized</w:t>
      </w:r>
      <w:r>
        <w:t xml:space="preserve"> </w:t>
      </w:r>
      <w:r>
        <w:t xml:space="preserve">by the corresponding</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This value measures the distance of</w:t>
      </w:r>
      <w:r>
        <w:t xml:space="preserve"> </w:t>
      </w:r>
      <w:r>
        <w:t xml:space="preserve">the estimated regimes from a one-size-fits-all regime. The corresponding average</w:t>
      </w:r>
      <w:r>
        <w:t xml:space="preserve"> </w:t>
      </w:r>
      <w:r>
        <w:t xml:space="preserve">distances are summarized in the following table.</w:t>
      </w:r>
    </w:p>
    <w:p>
      <w:pPr>
        <w:pStyle w:val="BodyText"/>
      </w:pPr>
      <w:r>
        <w:t xml:space="preserve">For Q-learning, estimated regimes under imputation per arm tend to be further</w:t>
      </w:r>
      <w:r>
        <w:t xml:space="preserve"> </w:t>
      </w:r>
      <w:r>
        <w:t xml:space="preserve">away from one-size-fits-all. However, there is no considerable difference for</w:t>
      </w:r>
      <w:r>
        <w:t xml:space="preserve"> </w:t>
      </w:r>
      <w:r>
        <w:t xml:space="preserve">the regimes estimated by value search estimation.</w:t>
      </w:r>
    </w:p>
    <w:p>
      <w:pPr>
        <w:pStyle w:val="CaptionedFigure"/>
      </w:pPr>
      <w:r>
        <w:drawing>
          <wp:inline>
            <wp:extent cx="5334000" cy="2133600"/>
            <wp:effectExtent b="0" l="0" r="0" t="0"/>
            <wp:docPr descr="Frequency distribution of the distance from one-size-fits-all for the estimated regimes across the imputations." title="" id="25" name="Picture"/>
            <a:graphic>
              <a:graphicData uri="http://schemas.openxmlformats.org/drawingml/2006/picture">
                <pic:pic>
                  <pic:nvPicPr>
                    <pic:cNvPr descr="artificial-data-summary_files/figure-docx/unnamed-chunk-15-1.png" id="26"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distance from one-size-fits-all for the estimated regimes across the imputations.</w:t>
      </w:r>
    </w:p>
    <w:p>
      <w:pPr>
        <w:pStyle w:val="TableCaption"/>
      </w:pPr>
      <w:r>
        <w:t xml:space="preserve">Average distance from one-size-fits-all of the estimated regimes across the imputed data sets. Note that each value is the average of 40 distances of 40, possibly different, estimated regimes.</w:t>
      </w:r>
    </w:p>
    <w:tbl>
      <w:tblPr>
        <w:tblStyle w:val="Table"/>
        <w:tblW w:type="auto" w:w="0"/>
        <w:tblLook w:firstRow="1" w:lastRow="0" w:firstColumn="0" w:lastColumn="0" w:noHBand="0" w:noVBand="0" w:val="0020"/>
        <w:jc w:val="start"/>
        <w:tblCaption w:val="Average distance from one-size-fits-all of the estimated regimes across the imputed data sets. Note that each value is the average of 40 distances of 40, possibly different, estimated regimes."/>
      </w:tblPr>
      <w:tblGrid>
        <w:gridCol w:w="2640"/>
        <w:gridCol w:w="2640"/>
        <w:gridCol w:w="2640"/>
      </w:tblGrid>
      <w:tr>
        <w:trPr>
          <w:tblHeader w:val="true"/>
        </w:trPr>
        <w:tc>
          <w:tcPr/>
          <w:p>
            <w:pPr>
              <w:pStyle w:val="Compact"/>
              <w:jc w:val="left"/>
            </w:pPr>
            <w:r>
              <w:t xml:space="preserve">OTR_method</w:t>
            </w:r>
          </w:p>
        </w:tc>
        <w:tc>
          <w:tcPr/>
          <w:p>
            <w:pPr>
              <w:pStyle w:val="Compact"/>
              <w:jc w:val="right"/>
            </w:pPr>
            <w:r>
              <w:t xml:space="preserve">Global</w:t>
            </w:r>
          </w:p>
        </w:tc>
        <w:tc>
          <w:tcPr/>
          <w:p>
            <w:pPr>
              <w:pStyle w:val="Compact"/>
              <w:jc w:val="right"/>
            </w:pPr>
            <w:r>
              <w:t xml:space="preserve">Per Arm</w:t>
            </w:r>
          </w:p>
        </w:tc>
      </w:tr>
      <w:tr>
        <w:tc>
          <w:tcPr/>
          <w:p>
            <w:pPr>
              <w:pStyle w:val="Compact"/>
              <w:jc w:val="left"/>
            </w:pPr>
            <w:r>
              <w:t xml:space="preserve">Q-learning</w:t>
            </w:r>
          </w:p>
        </w:tc>
        <w:tc>
          <w:tcPr/>
          <w:p>
            <w:pPr>
              <w:pStyle w:val="Compact"/>
              <w:jc w:val="right"/>
            </w:pPr>
            <w:r>
              <w:t xml:space="preserve">0.414</w:t>
            </w:r>
          </w:p>
        </w:tc>
        <w:tc>
          <w:tcPr/>
          <w:p>
            <w:pPr>
              <w:pStyle w:val="Compact"/>
              <w:jc w:val="right"/>
            </w:pPr>
            <w:r>
              <w:t xml:space="preserve">0.449</w:t>
            </w:r>
          </w:p>
        </w:tc>
      </w:tr>
      <w:tr>
        <w:tc>
          <w:tcPr/>
          <w:p>
            <w:pPr>
              <w:pStyle w:val="Compact"/>
              <w:jc w:val="left"/>
            </w:pPr>
            <w:r>
              <w:t xml:space="preserve">value search</w:t>
            </w:r>
          </w:p>
        </w:tc>
        <w:tc>
          <w:tcPr/>
          <w:p>
            <w:pPr>
              <w:pStyle w:val="Compact"/>
              <w:jc w:val="right"/>
            </w:pPr>
            <w:r>
              <w:t xml:space="preserve">0.409</w:t>
            </w:r>
          </w:p>
        </w:tc>
        <w:tc>
          <w:tcPr/>
          <w:p>
            <w:pPr>
              <w:pStyle w:val="Compact"/>
              <w:jc w:val="right"/>
            </w:pPr>
            <w:r>
              <w:t xml:space="preserve">0.398</w:t>
            </w:r>
          </w:p>
        </w:tc>
      </w:tr>
    </w:tbl>
    <w:bookmarkEnd w:id="27"/>
    <w:bookmarkStart w:id="31" w:name="aggregated-regimes"/>
    <w:p>
      <w:pPr>
        <w:pStyle w:val="Heading2"/>
      </w:pPr>
      <w:r>
        <w:rPr>
          <w:rStyle w:val="SectionNumber"/>
        </w:rPr>
        <w:t xml:space="preserve">1.3</w:t>
      </w:r>
      <w:r>
        <w:tab/>
      </w:r>
      <w:r>
        <w:t xml:space="preserve">Aggregated Regimes</w:t>
      </w:r>
    </w:p>
    <w:p>
      <w:pPr>
        <w:pStyle w:val="FirstParagraph"/>
      </w:pPr>
      <w:r>
        <w:t xml:space="preserve">Finally, we aggregate the 40 estimated regimes in each setting (imputation and</w:t>
      </w:r>
      <w:r>
        <w:t xml:space="preserve"> </w:t>
      </w:r>
      <w:r>
        <w:t xml:space="preserve">regime estimation method) with the circular mean. We consider the pooled</w:t>
      </w:r>
      <w:r>
        <w:t xml:space="preserve"> </w:t>
      </w:r>
      <w:r>
        <w:t xml:space="preserve">estimate of the value and the corresponding 95% CIs in the following figure and</w:t>
      </w:r>
      <w:r>
        <w:t xml:space="preserve"> </w:t>
      </w:r>
      <w:r>
        <w:t xml:space="preserve">table (by applying Rubin’s rules). The results for the trivial regimes are added</w:t>
      </w:r>
      <w:r>
        <w:t xml:space="preserve"> </w:t>
      </w:r>
      <w:r>
        <w:t xml:space="preserve">for reference.</w:t>
      </w:r>
    </w:p>
    <w:p>
      <w:pPr>
        <w:pStyle w:val="BodyText"/>
      </w:pPr>
      <w:r>
        <w:t xml:space="preserve">The figure below confirms the previous results. Imputation per arm leads to a</w:t>
      </w:r>
      <w:r>
        <w:t xml:space="preserve"> </w:t>
      </w:r>
      <w:r>
        <w:t xml:space="preserve">better aggregated regime in terms of the pooled estimate of its value. This</w:t>
      </w:r>
      <w:r>
        <w:t xml:space="preserve"> </w:t>
      </w:r>
      <w:r>
        <w:t xml:space="preserve">holds for both Q-learning and value search estimation. Even though this</w:t>
      </w:r>
      <w:r>
        <w:t xml:space="preserve"> </w:t>
      </w:r>
      <w:r>
        <w:t xml:space="preserve">difference is likely of little clinical relevance, it is still a considerable</w:t>
      </w:r>
      <w:r>
        <w:t xml:space="preserve"> </w:t>
      </w:r>
      <w:r>
        <w:t xml:space="preserve">difference when taking into account that only about 10% of the patients have</w:t>
      </w:r>
      <w:r>
        <w:t xml:space="preserve"> </w:t>
      </w:r>
      <w:r>
        <w:t xml:space="preserve">missing values (at 6 months).</w:t>
      </w:r>
    </w:p>
    <w:p>
      <w:pPr>
        <w:pStyle w:val="CaptionedFigure"/>
      </w:pPr>
      <w:r>
        <w:drawing>
          <wp:inline>
            <wp:extent cx="5334000" cy="2133600"/>
            <wp:effectExtent b="0" l="0" r="0" t="0"/>
            <wp:docPr descr="Pooled estimates for the value of the aggregated regimes together with 95% confidence intervals for the update 1 data. The pooled estimates and confidence interval are obtained by applying Rubin’s rules." title="" id="29" name="Picture"/>
            <a:graphic>
              <a:graphicData uri="http://schemas.openxmlformats.org/drawingml/2006/picture">
                <pic:pic>
                  <pic:nvPicPr>
                    <pic:cNvPr descr="artificial-data-summary_files/figure-docx/unnamed-chunk-17-1.png" id="3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Pooled estimates for the value of the aggregated regimes together with 95% confidence intervals for the update 1 data. The pooled estimates and confidence interval are obtained by applying Rubin’s rules.</w:t>
      </w:r>
    </w:p>
    <w:p>
      <w:pPr>
        <w:pStyle w:val="TableCaption"/>
      </w:pPr>
      <w:r>
        <w:t xml:space="preserve">Pooled estimated values for the aggregated regimes. Inference is based on the application of Rubin’s rules.</w:t>
      </w:r>
    </w:p>
    <w:tbl>
      <w:tblPr>
        <w:tblStyle w:val="Table"/>
        <w:tblW w:type="pct" w:w="5000"/>
        <w:tblLook w:firstRow="1" w:lastRow="0" w:firstColumn="0" w:lastColumn="0" w:noHBand="0" w:noVBand="0" w:val="0020"/>
        <w:jc w:val="start"/>
        <w:tblCaption w:val="Pooled estimated values for the aggregated regimes. Inference is based on the application of Rubin’s rules."/>
      </w:tblPr>
      <w:tblGrid>
        <w:gridCol w:w="1146"/>
        <w:gridCol w:w="2292"/>
        <w:gridCol w:w="2396"/>
        <w:gridCol w:w="1042"/>
        <w:gridCol w:w="1042"/>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pooled_estimated_value</w:t>
            </w:r>
          </w:p>
        </w:tc>
        <w:tc>
          <w:tcPr/>
          <w:p>
            <w:pPr>
              <w:pStyle w:val="Compact"/>
              <w:jc w:val="right"/>
            </w:pPr>
            <w:r>
              <w:t xml:space="preserve">ll 95% CI</w:t>
            </w:r>
          </w:p>
        </w:tc>
        <w:tc>
          <w:tcPr/>
          <w:p>
            <w:pPr>
              <w:pStyle w:val="Compact"/>
              <w:jc w:val="right"/>
            </w:pPr>
            <w:r>
              <w:t xml:space="preserve">ul 95% CI</w:t>
            </w:r>
          </w:p>
        </w:tc>
      </w:tr>
      <w:tr>
        <w:tc>
          <w:tcPr/>
          <w:p>
            <w:pPr>
              <w:pStyle w:val="Compact"/>
              <w:jc w:val="left"/>
            </w:pPr>
            <w:r>
              <w:t xml:space="preserve">Global</w:t>
            </w:r>
          </w:p>
        </w:tc>
        <w:tc>
          <w:tcPr/>
          <w:p>
            <w:pPr>
              <w:pStyle w:val="Compact"/>
              <w:jc w:val="left"/>
            </w:pPr>
            <w:r>
              <w:t xml:space="preserve">One-Size-Fits-All (0)</w:t>
            </w:r>
          </w:p>
        </w:tc>
        <w:tc>
          <w:tcPr/>
          <w:p>
            <w:pPr>
              <w:pStyle w:val="Compact"/>
              <w:jc w:val="right"/>
            </w:pPr>
            <w:r>
              <w:t xml:space="preserve">12.580</w:t>
            </w:r>
          </w:p>
        </w:tc>
        <w:tc>
          <w:tcPr/>
          <w:p>
            <w:pPr>
              <w:pStyle w:val="Compact"/>
              <w:jc w:val="right"/>
            </w:pPr>
            <w:r>
              <w:t xml:space="preserve">10.976</w:t>
            </w:r>
          </w:p>
        </w:tc>
        <w:tc>
          <w:tcPr/>
          <w:p>
            <w:pPr>
              <w:pStyle w:val="Compact"/>
              <w:jc w:val="right"/>
            </w:pPr>
            <w:r>
              <w:t xml:space="preserve">14.183</w:t>
            </w:r>
          </w:p>
        </w:tc>
      </w:tr>
      <w:tr>
        <w:tc>
          <w:tcPr/>
          <w:p>
            <w:pPr>
              <w:pStyle w:val="Compact"/>
              <w:jc w:val="left"/>
            </w:pPr>
            <w:r>
              <w:t xml:space="preserve">Global</w:t>
            </w:r>
          </w:p>
        </w:tc>
        <w:tc>
          <w:tcPr/>
          <w:p>
            <w:pPr>
              <w:pStyle w:val="Compact"/>
              <w:jc w:val="left"/>
            </w:pPr>
            <w:r>
              <w:t xml:space="preserve">One-Size-Fits-All (1)</w:t>
            </w:r>
          </w:p>
        </w:tc>
        <w:tc>
          <w:tcPr/>
          <w:p>
            <w:pPr>
              <w:pStyle w:val="Compact"/>
              <w:jc w:val="right"/>
            </w:pPr>
            <w:r>
              <w:t xml:space="preserve">11.374</w:t>
            </w:r>
          </w:p>
        </w:tc>
        <w:tc>
          <w:tcPr/>
          <w:p>
            <w:pPr>
              <w:pStyle w:val="Compact"/>
              <w:jc w:val="right"/>
            </w:pPr>
            <w:r>
              <w:t xml:space="preserve">9.655</w:t>
            </w:r>
          </w:p>
        </w:tc>
        <w:tc>
          <w:tcPr/>
          <w:p>
            <w:pPr>
              <w:pStyle w:val="Compact"/>
              <w:jc w:val="right"/>
            </w:pPr>
            <w:r>
              <w:t xml:space="preserve">13.093</w:t>
            </w:r>
          </w:p>
        </w:tc>
      </w:tr>
      <w:tr>
        <w:tc>
          <w:tcPr/>
          <w:p>
            <w:pPr>
              <w:pStyle w:val="Compact"/>
              <w:jc w:val="left"/>
            </w:pPr>
            <w:r>
              <w:t xml:space="preserve">Global</w:t>
            </w:r>
          </w:p>
        </w:tc>
        <w:tc>
          <w:tcPr/>
          <w:p>
            <w:pPr>
              <w:pStyle w:val="Compact"/>
              <w:jc w:val="left"/>
            </w:pPr>
            <w:r>
              <w:t xml:space="preserve">Q-learning</w:t>
            </w:r>
          </w:p>
        </w:tc>
        <w:tc>
          <w:tcPr/>
          <w:p>
            <w:pPr>
              <w:pStyle w:val="Compact"/>
              <w:jc w:val="right"/>
            </w:pPr>
            <w:r>
              <w:t xml:space="preserve">14.286</w:t>
            </w:r>
          </w:p>
        </w:tc>
        <w:tc>
          <w:tcPr/>
          <w:p>
            <w:pPr>
              <w:pStyle w:val="Compact"/>
              <w:jc w:val="right"/>
            </w:pPr>
            <w:r>
              <w:t xml:space="preserve">12.651</w:t>
            </w:r>
          </w:p>
        </w:tc>
        <w:tc>
          <w:tcPr/>
          <w:p>
            <w:pPr>
              <w:pStyle w:val="Compact"/>
              <w:jc w:val="right"/>
            </w:pPr>
            <w:r>
              <w:t xml:space="preserve">15.920</w:t>
            </w:r>
          </w:p>
        </w:tc>
      </w:tr>
      <w:tr>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14.446</w:t>
            </w:r>
          </w:p>
        </w:tc>
        <w:tc>
          <w:tcPr/>
          <w:p>
            <w:pPr>
              <w:pStyle w:val="Compact"/>
              <w:jc w:val="right"/>
            </w:pPr>
            <w:r>
              <w:t xml:space="preserve">12.839</w:t>
            </w:r>
          </w:p>
        </w:tc>
        <w:tc>
          <w:tcPr/>
          <w:p>
            <w:pPr>
              <w:pStyle w:val="Compact"/>
              <w:jc w:val="right"/>
            </w:pPr>
            <w:r>
              <w:t xml:space="preserve">16.052</w:t>
            </w:r>
          </w:p>
        </w:tc>
      </w:tr>
      <w:tr>
        <w:tc>
          <w:tcPr/>
          <w:p>
            <w:pPr>
              <w:pStyle w:val="Compact"/>
              <w:jc w:val="left"/>
            </w:pPr>
            <w:r>
              <w:t xml:space="preserve">Per Arm</w:t>
            </w:r>
          </w:p>
        </w:tc>
        <w:tc>
          <w:tcPr/>
          <w:p>
            <w:pPr>
              <w:pStyle w:val="Compact"/>
              <w:jc w:val="left"/>
            </w:pPr>
            <w:r>
              <w:t xml:space="preserve">One-Size-Fits-All (0)</w:t>
            </w:r>
          </w:p>
        </w:tc>
        <w:tc>
          <w:tcPr/>
          <w:p>
            <w:pPr>
              <w:pStyle w:val="Compact"/>
              <w:jc w:val="right"/>
            </w:pPr>
            <w:r>
              <w:t xml:space="preserve">12.391</w:t>
            </w:r>
          </w:p>
        </w:tc>
        <w:tc>
          <w:tcPr/>
          <w:p>
            <w:pPr>
              <w:pStyle w:val="Compact"/>
              <w:jc w:val="right"/>
            </w:pPr>
            <w:r>
              <w:t xml:space="preserve">10.777</w:t>
            </w:r>
          </w:p>
        </w:tc>
        <w:tc>
          <w:tcPr/>
          <w:p>
            <w:pPr>
              <w:pStyle w:val="Compact"/>
              <w:jc w:val="right"/>
            </w:pPr>
            <w:r>
              <w:t xml:space="preserve">14.005</w:t>
            </w:r>
          </w:p>
        </w:tc>
      </w:tr>
      <w:tr>
        <w:tc>
          <w:tcPr/>
          <w:p>
            <w:pPr>
              <w:pStyle w:val="Compact"/>
              <w:jc w:val="left"/>
            </w:pPr>
            <w:r>
              <w:t xml:space="preserve">Per Arm</w:t>
            </w:r>
          </w:p>
        </w:tc>
        <w:tc>
          <w:tcPr/>
          <w:p>
            <w:pPr>
              <w:pStyle w:val="Compact"/>
              <w:jc w:val="left"/>
            </w:pPr>
            <w:r>
              <w:t xml:space="preserve">One-Size-Fits-All (1)</w:t>
            </w:r>
          </w:p>
        </w:tc>
        <w:tc>
          <w:tcPr/>
          <w:p>
            <w:pPr>
              <w:pStyle w:val="Compact"/>
              <w:jc w:val="right"/>
            </w:pPr>
            <w:r>
              <w:t xml:space="preserve">11.656</w:t>
            </w:r>
          </w:p>
        </w:tc>
        <w:tc>
          <w:tcPr/>
          <w:p>
            <w:pPr>
              <w:pStyle w:val="Compact"/>
              <w:jc w:val="right"/>
            </w:pPr>
            <w:r>
              <w:t xml:space="preserve">9.967</w:t>
            </w:r>
          </w:p>
        </w:tc>
        <w:tc>
          <w:tcPr/>
          <w:p>
            <w:pPr>
              <w:pStyle w:val="Compact"/>
              <w:jc w:val="right"/>
            </w:pPr>
            <w:r>
              <w:t xml:space="preserve">13.346</w:t>
            </w:r>
          </w:p>
        </w:tc>
      </w:tr>
      <w:tr>
        <w:tc>
          <w:tcPr/>
          <w:p>
            <w:pPr>
              <w:pStyle w:val="Compact"/>
              <w:jc w:val="left"/>
            </w:pPr>
            <w:r>
              <w:t xml:space="preserve">Per Arm</w:t>
            </w:r>
          </w:p>
        </w:tc>
        <w:tc>
          <w:tcPr/>
          <w:p>
            <w:pPr>
              <w:pStyle w:val="Compact"/>
              <w:jc w:val="left"/>
            </w:pPr>
            <w:r>
              <w:t xml:space="preserve">Q-learning</w:t>
            </w:r>
          </w:p>
        </w:tc>
        <w:tc>
          <w:tcPr/>
          <w:p>
            <w:pPr>
              <w:pStyle w:val="Compact"/>
              <w:jc w:val="right"/>
            </w:pPr>
            <w:r>
              <w:t xml:space="preserve">14.686</w:t>
            </w:r>
          </w:p>
        </w:tc>
        <w:tc>
          <w:tcPr/>
          <w:p>
            <w:pPr>
              <w:pStyle w:val="Compact"/>
              <w:jc w:val="right"/>
            </w:pPr>
            <w:r>
              <w:t xml:space="preserve">13.120</w:t>
            </w:r>
          </w:p>
        </w:tc>
        <w:tc>
          <w:tcPr/>
          <w:p>
            <w:pPr>
              <w:pStyle w:val="Compact"/>
              <w:jc w:val="right"/>
            </w:pPr>
            <w:r>
              <w:t xml:space="preserve">16.251</w:t>
            </w:r>
          </w:p>
        </w:tc>
      </w:tr>
      <w:tr>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14.808</w:t>
            </w:r>
          </w:p>
        </w:tc>
        <w:tc>
          <w:tcPr/>
          <w:p>
            <w:pPr>
              <w:pStyle w:val="Compact"/>
              <w:jc w:val="right"/>
            </w:pPr>
            <w:r>
              <w:t xml:space="preserve">13.247</w:t>
            </w:r>
          </w:p>
        </w:tc>
        <w:tc>
          <w:tcPr/>
          <w:p>
            <w:pPr>
              <w:pStyle w:val="Compact"/>
              <w:jc w:val="right"/>
            </w:pPr>
            <w:r>
              <w:t xml:space="preserve">16.368</w:t>
            </w:r>
          </w:p>
        </w:tc>
      </w:tr>
    </w:tbl>
    <w:p>
      <w:pPr>
        <w:pStyle w:val="BodyText"/>
      </w:pPr>
      <w:r>
        <w:t xml:space="preserve">In the next table, the aggregated regime parameters are summarized. The</w:t>
      </w:r>
      <w:r>
        <w:t xml:space="preserve"> </w:t>
      </w:r>
      <w:r>
        <w:t xml:space="preserve">estimated parameters for CESD and past MDD tend to be closer to zero under</w:t>
      </w:r>
      <w:r>
        <w:t xml:space="preserve"> </w:t>
      </w:r>
      <w:r>
        <w:t xml:space="preserve">global imputation. Although the difference in estimated parameters is relatively</w:t>
      </w:r>
      <w:r>
        <w:t xml:space="preserve"> </w:t>
      </w:r>
      <w:r>
        <w:t xml:space="preserve">small, there is a considerable difference in the corresponding pooled estimated</w:t>
      </w:r>
      <w:r>
        <w:t xml:space="preserve"> </w:t>
      </w:r>
      <w:r>
        <w:t xml:space="preserve">value (as was shown above).</w:t>
      </w:r>
    </w:p>
    <w:p>
      <w:pPr>
        <w:pStyle w:val="TableCaption"/>
      </w:pPr>
      <w:r>
        <w:t xml:space="preserve">Linear regime parameter estimates for the aggregated regimes (without additional modificiations) for the update 1 data. The respective parameter vectors have unit norm.</w:t>
      </w:r>
    </w:p>
    <w:tbl>
      <w:tblPr>
        <w:tblStyle w:val="Table"/>
        <w:tblW w:type="pct" w:w="5000"/>
        <w:tblLook w:firstRow="1" w:lastRow="0" w:firstColumn="0" w:lastColumn="0" w:noHBand="0" w:noVBand="0" w:val="0020"/>
        <w:jc w:val="start"/>
        <w:tblCaption w:val="Linear regime parameter estimates for the aggregated regimes (without additional modificiations) for the update 1 data. The respective parameter vectors have unit norm."/>
      </w:tblPr>
      <w:tblGrid>
        <w:gridCol w:w="1193"/>
        <w:gridCol w:w="1410"/>
        <w:gridCol w:w="1518"/>
        <w:gridCol w:w="976"/>
        <w:gridCol w:w="759"/>
        <w:gridCol w:w="650"/>
        <w:gridCol w:w="759"/>
        <w:gridCol w:w="650"/>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left"/>
            </w:pPr>
            <w:r>
              <w:t xml:space="preserve">outcome_model</w:t>
            </w:r>
          </w:p>
        </w:tc>
        <w:tc>
          <w:tcPr/>
          <w:p>
            <w:pPr>
              <w:pStyle w:val="Compact"/>
              <w:jc w:val="right"/>
            </w:pPr>
            <w:r>
              <w:t xml:space="preserve">constant</w:t>
            </w:r>
          </w:p>
        </w:tc>
        <w:tc>
          <w:tcPr/>
          <w:p>
            <w:pPr>
              <w:pStyle w:val="Compact"/>
              <w:jc w:val="right"/>
            </w:pPr>
            <w:r>
              <w:t xml:space="preserve">sex</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-0.954</w:t>
            </w:r>
          </w:p>
        </w:tc>
        <w:tc>
          <w:tcPr/>
          <w:p>
            <w:pPr>
              <w:pStyle w:val="Compact"/>
              <w:jc w:val="right"/>
            </w:pPr>
            <w:r>
              <w:t xml:space="preserve">-0.031</w:t>
            </w:r>
          </w:p>
        </w:tc>
        <w:tc>
          <w:tcPr/>
          <w:p>
            <w:pPr>
              <w:pStyle w:val="Compact"/>
              <w:jc w:val="right"/>
            </w:pPr>
            <w:r>
              <w:t xml:space="preserve">0.004</w:t>
            </w:r>
          </w:p>
        </w:tc>
        <w:tc>
          <w:tcPr/>
          <w:p>
            <w:pPr>
              <w:pStyle w:val="Compact"/>
              <w:jc w:val="right"/>
            </w:pPr>
            <w:r>
              <w:t xml:space="preserve">0.076</w:t>
            </w:r>
          </w:p>
        </w:tc>
        <w:tc>
          <w:tcPr/>
          <w:p>
            <w:pPr>
              <w:pStyle w:val="Compact"/>
              <w:jc w:val="right"/>
            </w:pPr>
            <w:r>
              <w:t xml:space="preserve">0.014</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-0.946</w:t>
            </w:r>
          </w:p>
        </w:tc>
        <w:tc>
          <w:tcPr/>
          <w:p>
            <w:pPr>
              <w:pStyle w:val="Compact"/>
              <w:jc w:val="right"/>
            </w:pPr>
            <w:r>
              <w:t xml:space="preserve">-0.022</w:t>
            </w:r>
          </w:p>
        </w:tc>
        <w:tc>
          <w:tcPr/>
          <w:p>
            <w:pPr>
              <w:pStyle w:val="Compact"/>
              <w:jc w:val="right"/>
            </w:pPr>
            <w:r>
              <w:t xml:space="preserve">0.004</w:t>
            </w:r>
          </w:p>
        </w:tc>
        <w:tc>
          <w:tcPr/>
          <w:p>
            <w:pPr>
              <w:pStyle w:val="Compact"/>
              <w:jc w:val="right"/>
            </w:pPr>
            <w:r>
              <w:t xml:space="preserve">0.059</w:t>
            </w:r>
          </w:p>
        </w:tc>
        <w:tc>
          <w:tcPr/>
          <w:p>
            <w:pPr>
              <w:pStyle w:val="Compact"/>
              <w:jc w:val="right"/>
            </w:pPr>
            <w:r>
              <w:t xml:space="preserve">0.016</w:t>
            </w:r>
          </w:p>
        </w:tc>
      </w:tr>
      <w:tr>
        <w:tc>
          <w:tcPr/>
          <w:p>
            <w:pPr>
              <w:pStyle w:val="Compact"/>
              <w:jc w:val="left"/>
            </w:pPr>
            <w:r>
              <w:t xml:space="preserve">Global</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-0.964</w:t>
            </w:r>
          </w:p>
        </w:tc>
        <w:tc>
          <w:tcPr/>
          <w:p>
            <w:pPr>
              <w:pStyle w:val="Compact"/>
              <w:jc w:val="right"/>
            </w:pPr>
            <w:r>
              <w:t xml:space="preserve">0.051</w:t>
            </w:r>
          </w:p>
        </w:tc>
        <w:tc>
          <w:tcPr/>
          <w:p>
            <w:pPr>
              <w:pStyle w:val="Compact"/>
              <w:jc w:val="right"/>
            </w:pPr>
            <w:r>
              <w:t xml:space="preserve">0.003</w:t>
            </w:r>
          </w:p>
        </w:tc>
        <w:tc>
          <w:tcPr/>
          <w:p>
            <w:pPr>
              <w:pStyle w:val="Compact"/>
              <w:jc w:val="right"/>
            </w:pPr>
            <w:r>
              <w:t xml:space="preserve">0.056</w:t>
            </w:r>
          </w:p>
        </w:tc>
        <w:tc>
          <w:tcPr/>
          <w:p>
            <w:pPr>
              <w:pStyle w:val="Compact"/>
              <w:jc w:val="right"/>
            </w:pPr>
            <w:r>
              <w:t xml:space="preserve">0.017</w:t>
            </w:r>
          </w:p>
        </w:tc>
      </w:tr>
      <w:tr>
        <w:tc>
          <w:tcPr/>
          <w:p>
            <w:pPr>
              <w:pStyle w:val="Compact"/>
              <w:jc w:val="left"/>
            </w:pPr>
            <w:r>
              <w:t xml:space="preserve">Per Arm</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-0.957</w:t>
            </w:r>
          </w:p>
        </w:tc>
        <w:tc>
          <w:tcPr/>
          <w:p>
            <w:pPr>
              <w:pStyle w:val="Compact"/>
              <w:jc w:val="right"/>
            </w:pPr>
            <w:r>
              <w:t xml:space="preserve">0.028</w:t>
            </w:r>
          </w:p>
        </w:tc>
        <w:tc>
          <w:tcPr/>
          <w:p>
            <w:pPr>
              <w:pStyle w:val="Compact"/>
              <w:jc w:val="right"/>
            </w:pPr>
            <w:r>
              <w:t xml:space="preserve">0.003</w:t>
            </w:r>
          </w:p>
        </w:tc>
        <w:tc>
          <w:tcPr/>
          <w:p>
            <w:pPr>
              <w:pStyle w:val="Compact"/>
              <w:jc w:val="right"/>
            </w:pPr>
            <w:r>
              <w:t xml:space="preserve">0.048</w:t>
            </w:r>
          </w:p>
        </w:tc>
        <w:tc>
          <w:tcPr/>
          <w:p>
            <w:pPr>
              <w:pStyle w:val="Compact"/>
              <w:jc w:val="right"/>
            </w:pPr>
            <w:r>
              <w:t xml:space="preserve">0.017</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Data Analysis</dc:title>
  <dc:creator>Florian Stijven</dc:creator>
  <cp:keywords/>
  <dcterms:created xsi:type="dcterms:W3CDTF">2023-09-20T17:25:35Z</dcterms:created>
  <dcterms:modified xsi:type="dcterms:W3CDTF">2023-09-20T17:25:35Z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2023-09-20</vt:lpwstr>
  </property>
  <property fmtid="{D5CDD505-2E9C-101B-9397-08002B2CF9AE}" pid="3" name="output">
    <vt:lpwstr/>
  </property>
</Properties>
</file>