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2023-08-07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(GA). Throughout this document, the performance of the</w:t>
      </w:r>
      <w:r>
        <w:t xml:space="preserve"> </w:t>
      </w:r>
      <w:r>
        <w:t xml:space="preserve">GA is assessed by the estimated value of the estimated optimal</w:t>
      </w:r>
      <w:r>
        <w:t xml:space="preserve"> </w:t>
      </w:r>
      <w:r>
        <w:t xml:space="preserve">regime. The GA maximizes the estimated value in the regime parameters, hence</w:t>
      </w:r>
      <w:r>
        <w:t xml:space="preserve"> </w:t>
      </w:r>
      <w:r>
        <w:t xml:space="preserve">optimization approaches that lead to larger estimaed values are better. The</w:t>
      </w:r>
      <w:r>
        <w:t xml:space="preserve"> </w:t>
      </w:r>
      <w:r>
        <w:t xml:space="preserve">performance is assessed on all five outcomes and 20 imputed data sets. For</w:t>
      </w:r>
      <w:r>
        <w:t xml:space="preserve"> </w:t>
      </w:r>
      <w:r>
        <w:t xml:space="preserve">computational reasons, we do not consider all 200 imputed data sets.</w:t>
      </w:r>
      <w:r>
        <w:t xml:space="preserve"> </w:t>
      </w:r>
      <w:r>
        <w:t xml:space="preserve">Nonetheless, 20 imputed data sets are sufficient to draw valuable conclusions.</w:t>
      </w:r>
      <w:r>
        <w:t xml:space="preserve"> </w:t>
      </w:r>
      <w:r>
        <w:t xml:space="preserve">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estimated by Q-learning provides the starting values for</w:t>
      </w:r>
      <w:r>
        <w:t xml:space="preserve"> </w:t>
      </w:r>
      <w:r>
        <w:t xml:space="preserve">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4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</w:t>
      </w:r>
      <w:r>
        <w:t xml:space="preserve"> </w:t>
      </w:r>
      <w:r>
        <w:t xml:space="preserve">is implemented in 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</w:t>
      </w:r>
      <w:r>
        <w:t xml:space="preserve"> </w:t>
      </w:r>
      <w:r>
        <w:t xml:space="preserve">has many tuning parameters, the most important tuning parameter is the</w:t>
      </w:r>
      <w:r>
        <w:t xml:space="preserve"> </w:t>
      </w:r>
      <w:r>
        <w:t xml:space="preserve">population size. In the documentation of 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</w:t>
      </w:r>
      <w:r>
        <w:t xml:space="preserve"> </w:t>
      </w:r>
      <w:r>
        <w:t xml:space="preserve">how the population size influences the performance of the GA for a wide variety</w:t>
      </w:r>
      <w:r>
        <w:t xml:space="preserve"> </w:t>
      </w:r>
      <w:r>
        <w:t xml:space="preserve">of benchmark objective functions. In these illustrations, a population size</w:t>
      </w:r>
      <w:r>
        <w:t xml:space="preserve"> </w:t>
      </w:r>
      <w:r>
        <w:t xml:space="preserve">between 1000 and 10.000 is used. Larger population sizes generally (but not</w:t>
      </w:r>
      <w:r>
        <w:t xml:space="preserve"> </w:t>
      </w:r>
      <w:r>
        <w:t xml:space="preserve">always) lead to better solutions, but at the price of a greatly increased</w:t>
      </w:r>
      <w:r>
        <w:t xml:space="preserve"> </w:t>
      </w:r>
      <w:r>
        <w:t xml:space="preserve">running time. This improved performance is expected because the theorems proving</w:t>
      </w:r>
      <w:r>
        <w:t xml:space="preserve"> </w:t>
      </w:r>
      <w:r>
        <w:t xml:space="preserve">that GAs find good solutions are asymptotic in the population</w:t>
      </w:r>
      <w:r>
        <w:t xml:space="preserve"> </w:t>
      </w:r>
      <w:r>
        <w:t xml:space="preserve">size (and number of generations).</w:t>
      </w:r>
    </w:p>
    <w:p>
      <w:pPr>
        <w:pStyle w:val="BodyText"/>
      </w:pPr>
      <w:r>
        <w:t xml:space="preserve">There is no guarantee that the treatment regime found by the GA</w:t>
      </w:r>
      <w:r>
        <w:t xml:space="preserve"> </w:t>
      </w:r>
      <w:r>
        <w:t xml:space="preserve">corresponds to 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</w:t>
      </w:r>
      <w:r>
        <w:t xml:space="preserve"> </w:t>
      </w:r>
      <w:r>
        <w:t xml:space="preserve">the tuning parameters are appropriate is to run the GA multiple</w:t>
      </w:r>
      <w:r>
        <w:t xml:space="preserve"> </w:t>
      </w:r>
      <w:r>
        <w:t xml:space="preserve">times with a different seed (and possibly different starting values). If the</w:t>
      </w:r>
      <w:r>
        <w:t xml:space="preserve"> </w:t>
      </w:r>
      <w:r>
        <w:t xml:space="preserve">estimated treatment regimes across these different runs are (nearly) equivalent,</w:t>
      </w:r>
      <w:r>
        <w:t xml:space="preserve"> </w:t>
      </w:r>
      <w:r>
        <w:t xml:space="preserve">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 evidence that the population size and other tuning</w:t>
      </w:r>
      <w:r>
        <w:t xml:space="preserve"> </w:t>
      </w:r>
      <w:r>
        <w:t xml:space="preserve">parameters are appropriate. Nevertheless, this does not provide an absolute</w:t>
      </w:r>
      <w:r>
        <w:t xml:space="preserve"> </w:t>
      </w:r>
      <w:r>
        <w:t xml:space="preserve">guarantee that a good solution, let alone a global optimum will be found. This</w:t>
      </w:r>
      <w:r>
        <w:t xml:space="preserve"> </w:t>
      </w:r>
      <w:r>
        <w:t xml:space="preserve">is also illustrated with the data further on.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by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distinct aspects of the</w:t>
      </w:r>
      <w:r>
        <w:t xml:space="preserve"> </w:t>
      </w:r>
      <w:r>
        <w:t xml:space="preserve">tuning 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</w:t>
      </w:r>
      <w:r>
        <w:t xml:space="preserve"> </w:t>
      </w:r>
      <w:r>
        <w:t xml:space="preserve">GA on the same data. The average standard deviation is given as a percentage of</w:t>
      </w:r>
      <w:r>
        <w:t xml:space="preserve"> </w:t>
      </w:r>
      <w:r>
        <w:t xml:space="preserve">the range of the corresponding scale. This allows us to better appreciate how</w:t>
      </w:r>
      <w:r>
        <w:t xml:space="preserve"> </w:t>
      </w:r>
      <w:r>
        <w:t xml:space="preserve">large the variation is between multiple runs of the GA. The last</w:t>
      </w:r>
      <w:r>
        <w:t xml:space="preserve"> </w:t>
      </w:r>
      <w:r>
        <w:t xml:space="preserve">column contains the corresponding standard error for the estimated average</w:t>
      </w:r>
      <w:r>
        <w:t xml:space="preserve"> </w:t>
      </w:r>
      <w:r>
        <w:t xml:space="preserve">standard 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We should be careful in interpreting the above results.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3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>
      <w:pPr>
        <w:pStyle w:val="BodyText"/>
      </w:pPr>
      <w:r>
        <w:t xml:space="preserve">Hence, 2 approaches perform best for the five outcomes. Because this table does</w:t>
      </w:r>
      <w:r>
        <w:t xml:space="preserve"> </w:t>
      </w:r>
      <w:r>
        <w:t xml:space="preserve">not take into account the magnitude of the difference, we summarize the difference</w:t>
      </w:r>
      <w:r>
        <w:t xml:space="preserve"> </w:t>
      </w:r>
      <w:r>
        <w:t xml:space="preserve">in estimated values between these two approaches next in histograms.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8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We only consider</w:t>
      </w:r>
      <w:r>
        <w:t xml:space="preserve"> </w:t>
      </w:r>
      <w:r>
        <w:t xml:space="preserve">the optimization approach that was found to be best for each outcome separately</w:t>
      </w:r>
      <w:r>
        <w:t xml:space="preserve"> </w:t>
      </w:r>
      <w:r>
        <w:t xml:space="preserve">in the previous section (see last bullet points above). In the next plot, we</w:t>
      </w:r>
      <w:r>
        <w:t xml:space="preserve"> </w:t>
      </w:r>
      <w:r>
        <w:t xml:space="preserve">compare the estimated values for identical optimization approaches, but</w:t>
      </w:r>
      <w:r>
        <w:t xml:space="preserve"> </w:t>
      </w:r>
      <w:r>
        <w:t xml:space="preserve">different starting 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for the optimization approaches considered,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CESD, FAMFUN, and MADRS, but not for</w:t>
      </w:r>
      <w:r>
        <w:t xml:space="preserve"> </w:t>
      </w:r>
      <w:r>
        <w:t xml:space="preserve">SAS and VAS. The same table as before, summarizing the proportion of times a</w:t>
      </w:r>
      <w:r>
        <w:t xml:space="preserve"> </w:t>
      </w:r>
      <w:r>
        <w:t xml:space="preserve">particular choice of starting values is best, is given next.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38"/>
    <w:bookmarkStart w:id="39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7"/>
        </w:numPr>
        <w:pStyle w:val="Compact"/>
      </w:pPr>
      <w:r>
        <w:t xml:space="preserve">One should be careful with interpreting the variability between independent runs</w:t>
      </w:r>
      <w:r>
        <w:t xml:space="preserve"> </w:t>
      </w:r>
      <w:r>
        <w:t xml:space="preserve">of the GA as implying appropriate tuning parameters when this variability is</w:t>
      </w:r>
      <w:r>
        <w:t xml:space="preserve"> </w:t>
      </w:r>
      <w:r>
        <w:t xml:space="preserve">small. Instead, it is better to compare the estimated value between different</w:t>
      </w:r>
      <w:r>
        <w:t xml:space="preserve"> </w:t>
      </w:r>
      <w:r>
        <w:t xml:space="preserve">optimization approaches.</w:t>
      </w:r>
    </w:p>
    <w:p>
      <w:pPr>
        <w:numPr>
          <w:ilvl w:val="0"/>
          <w:numId w:val="1007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7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7"/>
        </w:numPr>
        <w:pStyle w:val="Compact"/>
      </w:pPr>
      <w:r>
        <w:t xml:space="preserve">While aggregating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2023-08-07T07:19:34Z</dcterms:created>
  <dcterms:modified xsi:type="dcterms:W3CDTF">2023-08-07T07:19:34Z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2023-08-07</vt:lpwstr>
  </property>
  <property fmtid="{D5CDD505-2E9C-101B-9397-08002B2CF9AE}" pid="3" name="output">
    <vt:lpwstr/>
  </property>
</Properties>
</file>