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003B70"/>
          <w:sz w:val="28"/>
        </w:rPr>
        <w:t>PRJ-0412.1*</w:t>
      </w:r>
    </w:p>
    <w:p>
      <w:pPr>
        <w:spacing w:after="120"/>
      </w:pPr>
      <w:r>
        <w:rPr>
          <w:rFonts w:ascii="Aptos Display" w:hAnsi="Aptos Display"/>
          <w:b/>
          <w:color w:val="003B70"/>
          <w:sz w:val="42"/>
        </w:rPr>
        <w:t>M:INVOICE - CONI (CONSOLIDATED INVOICES)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329"/>
        <w:gridCol w:w="3175"/>
        <w:gridCol w:w="4422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Operating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003B70"/>
                <w:sz w:val="22"/>
              </w:rPr>
              <w:t>Company 1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D70000"/>
                <w:sz w:val="22"/>
              </w:rPr>
              <w:t>CUSTOMER</w:t>
              <w:br/>
            </w:r>
            <w:r>
              <w:rPr>
                <w:rFonts w:ascii="Aptos" w:hAnsi="Aptos"/>
                <w:b/>
                <w:color w:val="2474D2"/>
                <w:sz w:val="22"/>
              </w:rPr>
              <w:t>CUSTOMER VALUE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CORP - BE; CORP; DE; ES; FR; HR; HU; IT; NL; PL; PT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Many customers, especially big ones, expect to receive one invoice on a regular basis (e.g. monthly) containing all packing lists of that period. This avoids administrative costs on customer site and is therefore a powerful marketing instrument for Company 1.</w:t>
              <w:br/>
              <w:t>The scope of this product has been a redesigned CONI solution which is based on the strategic customer invoice archive. The solution shall be activated in several countries.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OBJ-888: We provide all solutions around customer invoices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Increase amount of CONI 2.0 customers by 15%*; Increase number of consolidated invoices per month by 20%*; Increase amount of CONI 2.0 customers in ES by 10%*; Increase number of consolidated invoices per month in ES from 0 to 500*.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Implementation of CONI for 3rd country (Spain)</w:t>
              <w:br/>
              <w:t>Implementation of NVP Features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180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60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450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90 T€*</w:t>
            </w:r>
          </w:p>
        </w:tc>
      </w:tr>
    </w:tbl>
    <w:p>
      <w:pPr>
        <w:spacing w:before="100" w:after="0"/>
      </w:pPr>
      <w:r>
        <w:rPr>
          <w:rFonts w:ascii="Aptos" w:hAnsi="Aptos"/>
          <w:i/>
          <w:color w:val="5A5A5A"/>
          <w:sz w:val="16"/>
        </w:rPr>
        <w:t>* Plausible example additions for information redacted in the screenshot. Company names have been anonymised. These values are not a reconstruction of confidential source data.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