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003B70"/>
          <w:sz w:val="32"/>
        </w:rPr>
        <w:t>PRJ-0387.3*</w:t>
      </w:r>
    </w:p>
    <w:p>
      <w:pPr>
        <w:spacing w:after="160"/>
      </w:pPr>
      <w:r>
        <w:rPr>
          <w:rFonts w:ascii="Aptos Display" w:hAnsi="Aptos Display"/>
          <w:b/>
          <w:color w:val="003B70"/>
          <w:sz w:val="48"/>
        </w:rPr>
        <w:t>M:COMPANION | BECOMING A DAILY SHOPPING COMPANION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  <w:gridCol w:w="2835"/>
        <w:gridCol w:w="3402"/>
      </w:tblGrid>
      <w:tr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7E7E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4"/>
              </w:rPr>
              <w:t>Functional</w:t>
              <w:br/>
              <w:t>Partner</w:t>
            </w:r>
          </w:p>
        </w:tc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003B70"/>
                <w:sz w:val="24"/>
              </w:rPr>
              <w:t>Customer Experience &amp; Digital Commerce*</w:t>
            </w:r>
          </w:p>
        </w:tc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7E7E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4"/>
              </w:rPr>
              <w:t>Strategic</w:t>
              <w:br/>
              <w:t>Objectives</w:t>
            </w:r>
          </w:p>
        </w:tc>
        <w:tc>
          <w:tcPr>
            <w:tcW w:type="dxa" w:w="3841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D70000"/>
                <w:sz w:val="24"/>
              </w:rPr>
              <w:t>CUSTOMER</w:t>
              <w:br/>
            </w:r>
            <w:r>
              <w:rPr>
                <w:rFonts w:ascii="Aptos" w:hAnsi="Aptos"/>
                <w:b/>
                <w:color w:val="2B78C5"/>
                <w:sz w:val="24"/>
              </w:rPr>
              <w:t>CUSTOMER VALUE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Lead - Affected</w:t>
              <w:br/>
              <w:t>Countries</w:t>
            </w:r>
          </w:p>
        </w:tc>
        <w:tc>
          <w:tcPr>
            <w:tcW w:type="dxa" w:w="12587"/>
            <w:gridSpan w:val="3"/>
            <w:shd w:fill="DCEAF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2"/>
              </w:rPr>
              <w:t>CORP - CORP; DE; ES; FR; NL; PT; TR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Description</w:t>
            </w:r>
          </w:p>
        </w:tc>
        <w:tc>
          <w:tcPr>
            <w:tcW w:type="dxa" w:w="12587"/>
            <w:gridSpan w:val="3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2"/>
              </w:rPr>
              <w:t>The Company 1 Companion is the mobile touchpoint for our customers. Besides offering a high amount of functionality like browsing the assortment, checking the availability, accessing the digital card, managing shopping lists and invoice it also offers a totally new communication channel for Company 1. Personalised information while interacting with Company 1 or via push notification is not available so far at Company 1.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Objective</w:t>
              <w:br/>
              <w:t>(OKR/VCP)</w:t>
            </w:r>
          </w:p>
        </w:tc>
        <w:tc>
          <w:tcPr>
            <w:tcW w:type="dxa" w:w="12587"/>
            <w:gridSpan w:val="3"/>
            <w:shd w:fill="DCEAF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2"/>
              </w:rPr>
              <w:t>Less effort for Company 1 and our customers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Metrics</w:t>
            </w:r>
          </w:p>
        </w:tc>
        <w:tc>
          <w:tcPr>
            <w:tcW w:type="dxa" w:w="12587"/>
            <w:gridSpan w:val="3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2"/>
              </w:rPr>
              <w:t>We reduce the time used to prepare the shopping list; we reduce waiting time at the checkout; we avoid invoice prints</w:t>
            </w:r>
          </w:p>
        </w:tc>
      </w:tr>
      <w:tr>
        <w:tc>
          <w:tcPr>
            <w:tcW w:type="dxa" w:w="2835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2"/>
              </w:rPr>
              <w:t>Planned</w:t>
              <w:br/>
              <w:t>Deliverables</w:t>
            </w:r>
          </w:p>
        </w:tc>
        <w:tc>
          <w:tcPr>
            <w:tcW w:type="dxa" w:w="12587"/>
            <w:gridSpan w:val="3"/>
            <w:shd w:fill="DCEAF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2"/>
              </w:rPr>
              <w:t>Shopping list is used for 80% of the bought items by app users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1984"/>
        <w:gridCol w:w="1814"/>
        <w:gridCol w:w="2154"/>
        <w:gridCol w:w="1814"/>
        <w:gridCol w:w="1984"/>
        <w:gridCol w:w="1928"/>
      </w:tblGrid>
      <w:tr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Iteration Value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250 T€*</w:t>
            </w:r>
          </w:p>
        </w:tc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Already Spent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n.a.</w:t>
            </w:r>
          </w:p>
        </w:tc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Total One-Off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900 T€*</w:t>
            </w:r>
          </w:p>
        </w:tc>
        <w:tc>
          <w:tcPr>
            <w:tcW w:type="dxa" w:w="1920"/>
            <w:shd w:fill="E7E7E7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1F1F1F"/>
                <w:sz w:val="21"/>
              </w:rPr>
              <w:t>Avg. Recurrent</w:t>
            </w:r>
          </w:p>
        </w:tc>
        <w:tc>
          <w:tcPr>
            <w:tcW w:type="dxa" w:w="1920"/>
            <w:shd w:fill="F4F7FA"/>
            <w:vAlign w:val="center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ptos" w:hAnsi="Aptos"/>
                <w:b w:val="0"/>
                <w:i w:val="0"/>
                <w:color w:val="1F1F1F"/>
                <w:sz w:val="21"/>
              </w:rPr>
              <w:t>75 T€*</w:t>
            </w:r>
          </w:p>
        </w:tc>
      </w:tr>
    </w:tbl>
    <w:p>
      <w:pPr>
        <w:spacing w:before="140" w:after="0"/>
      </w:pPr>
      <w:r>
        <w:rPr>
          <w:rFonts w:ascii="Aptos" w:hAnsi="Aptos"/>
          <w:i/>
          <w:color w:val="5F5F5F"/>
          <w:sz w:val="17"/>
        </w:rPr>
        <w:t>* Plausible example additions for information redacted in the screenshot. They are not a reconstruction of confidential source data.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