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val="0"/>
          <w:i w:val="0"/>
          <w:color w:val="666666"/>
          <w:sz w:val="18"/>
        </w:rPr>
        <w:t>PRJ-0552.1</w:t>
      </w:r>
    </w:p>
    <w:p>
      <w:pPr>
        <w:spacing w:after="40"/>
      </w:pPr>
      <w:r>
        <w:rPr>
          <w:b/>
          <w:i w:val="0"/>
          <w:color w:val="1F3A5F"/>
          <w:sz w:val="30"/>
        </w:rPr>
        <w:t>HARBOR – WAREHOUSE MANAGEMENT SYSTEM ROLLOUT PL/CZ</w:t>
      </w:r>
    </w:p>
    <w:p>
      <w:pPr>
        <w:spacing w:after="160"/>
      </w:pPr>
      <w:r>
        <w:rPr>
          <w:b w:val="0"/>
          <w:i w:val="0"/>
          <w:color w:val="666666"/>
          <w:sz w:val="16"/>
        </w:rPr>
        <w:t>VELTRAX Group SE · Project Charter · Antragsdatum: 31.02.2026 · Vertraulichkeit: intern</w:t>
      </w:r>
    </w:p>
    <w:p>
      <w:pPr>
        <w:pStyle w:val="Heading2"/>
      </w:pPr>
      <w:r>
        <w:rPr>
          <w:color w:val="1F3A5F"/>
        </w:rPr>
        <w:t>1. Stammdaten</w:t>
      </w:r>
    </w:p>
    <w:tbl>
      <w:tblPr>
        <w:tblStyle w:val="TableGrid"/>
        <w:tblW w:type="auto" w:w="0"/>
        <w:jc w:val="center"/>
        <w:tblLook w:firstColumn="1" w:firstRow="1" w:lastColumn="0" w:lastRow="0" w:noHBand="0" w:noVBand="1" w:val="04A0"/>
      </w:tblPr>
      <w:tblGrid>
        <w:gridCol w:w="4986"/>
        <w:gridCol w:w="4986"/>
      </w:tblGrid>
      <w:tr>
        <w:tc>
          <w:tcPr>
            <w:tcW w:type="dxa" w:w="2551"/>
            <w:shd w:val="clear" w:color="auto" w:fill="E8EEF5"/>
          </w:tcPr>
          <w:p>
            <w:r/>
            <w:r>
              <w:rPr>
                <w:b/>
                <w:sz w:val="18"/>
              </w:rPr>
              <w:t>Partner / Operating</w:t>
            </w:r>
          </w:p>
        </w:tc>
        <w:tc>
          <w:tcPr>
            <w:tcW w:type="dxa" w:w="6803"/>
          </w:tcPr>
          <w:p>
            <w:r/>
            <w:r>
              <w:rPr>
                <w:b w:val="0"/>
                <w:sz w:val="18"/>
              </w:rPr>
              <w:t>VELTRAX Logistics GmbH</w:t>
            </w:r>
          </w:p>
        </w:tc>
      </w:tr>
      <w:tr>
        <w:tc>
          <w:tcPr>
            <w:tcW w:type="dxa" w:w="2551"/>
            <w:shd w:val="clear" w:color="auto" w:fill="E8EEF5"/>
          </w:tcPr>
          <w:p>
            <w:r/>
            <w:r>
              <w:rPr>
                <w:b/>
                <w:sz w:val="18"/>
              </w:rPr>
              <w:t>Antragstellende Einheit</w:t>
            </w:r>
          </w:p>
        </w:tc>
        <w:tc>
          <w:tcPr>
            <w:tcW w:type="dxa" w:w="6803"/>
          </w:tcPr>
          <w:p>
            <w:r/>
            <w:r>
              <w:rPr>
                <w:b w:val="0"/>
                <w:sz w:val="18"/>
              </w:rPr>
              <w:t>VELTRAX Logistics</w:t>
            </w:r>
          </w:p>
        </w:tc>
      </w:tr>
      <w:tr>
        <w:tc>
          <w:tcPr>
            <w:tcW w:type="dxa" w:w="2551"/>
            <w:shd w:val="clear" w:color="auto" w:fill="E8EEF5"/>
          </w:tcPr>
          <w:p>
            <w:r/>
            <w:r>
              <w:rPr>
                <w:b/>
                <w:sz w:val="18"/>
              </w:rPr>
              <w:t>Project Sponsor</w:t>
            </w:r>
          </w:p>
        </w:tc>
        <w:tc>
          <w:tcPr>
            <w:tcW w:type="dxa" w:w="6803"/>
          </w:tcPr>
          <w:p>
            <w:r/>
            <w:r>
              <w:rPr>
                <w:b w:val="0"/>
                <w:sz w:val="18"/>
              </w:rPr>
              <w:t>Dr. Kerstin Albrecht (COO Logistics)</w:t>
            </w:r>
          </w:p>
        </w:tc>
      </w:tr>
      <w:tr>
        <w:tc>
          <w:tcPr>
            <w:tcW w:type="dxa" w:w="2551"/>
            <w:shd w:val="clear" w:color="auto" w:fill="E8EEF5"/>
          </w:tcPr>
          <w:p>
            <w:r/>
            <w:r>
              <w:rPr>
                <w:b/>
                <w:sz w:val="18"/>
              </w:rPr>
              <w:t>Project Manager</w:t>
            </w:r>
          </w:p>
        </w:tc>
        <w:tc>
          <w:tcPr>
            <w:tcW w:type="dxa" w:w="6803"/>
          </w:tcPr>
          <w:p>
            <w:r/>
            <w:r>
              <w:rPr>
                <w:b w:val="0"/>
                <w:sz w:val="18"/>
              </w:rPr>
              <w:t>Tomasz Wierzbicki (WMS Product Owner)</w:t>
            </w:r>
          </w:p>
        </w:tc>
      </w:tr>
      <w:tr>
        <w:tc>
          <w:tcPr>
            <w:tcW w:type="dxa" w:w="2551"/>
            <w:shd w:val="clear" w:color="auto" w:fill="E8EEF5"/>
          </w:tcPr>
          <w:p>
            <w:r/>
            <w:r>
              <w:rPr>
                <w:b/>
                <w:sz w:val="18"/>
              </w:rPr>
              <w:t>Lead – Affected Countries</w:t>
            </w:r>
          </w:p>
        </w:tc>
        <w:tc>
          <w:tcPr>
            <w:tcW w:type="dxa" w:w="6803"/>
          </w:tcPr>
          <w:p>
            <w:r/>
            <w:r>
              <w:rPr>
                <w:b w:val="0"/>
                <w:sz w:val="18"/>
              </w:rPr>
              <w:t>PL; CZ; CORP</w:t>
            </w:r>
          </w:p>
        </w:tc>
      </w:tr>
      <w:tr>
        <w:tc>
          <w:tcPr>
            <w:tcW w:type="dxa" w:w="2551"/>
            <w:shd w:val="clear" w:color="auto" w:fill="E8EEF5"/>
          </w:tcPr>
          <w:p>
            <w:r/>
            <w:r>
              <w:rPr>
                <w:b/>
                <w:sz w:val="18"/>
              </w:rPr>
              <w:t>Start (FY) / Go-Live (FY)</w:t>
            </w:r>
          </w:p>
        </w:tc>
        <w:tc>
          <w:tcPr>
            <w:tcW w:type="dxa" w:w="6803"/>
          </w:tcPr>
          <w:p>
            <w:r/>
            <w:r>
              <w:rPr>
                <w:b w:val="0"/>
                <w:sz w:val="18"/>
              </w:rPr>
              <w:t>2026 / 2027</w:t>
            </w:r>
          </w:p>
        </w:tc>
      </w:tr>
      <w:tr>
        <w:tc>
          <w:tcPr>
            <w:tcW w:type="dxa" w:w="2551"/>
            <w:shd w:val="clear" w:color="auto" w:fill="E8EEF5"/>
          </w:tcPr>
          <w:p>
            <w:r/>
            <w:r>
              <w:rPr>
                <w:b/>
                <w:sz w:val="18"/>
              </w:rPr>
              <w:t>Project Number</w:t>
            </w:r>
          </w:p>
        </w:tc>
        <w:tc>
          <w:tcPr>
            <w:tcW w:type="dxa" w:w="6803"/>
          </w:tcPr>
          <w:p>
            <w:r/>
            <w:r>
              <w:rPr>
                <w:b w:val="0"/>
                <w:sz w:val="18"/>
              </w:rPr>
              <w:t>BC-2026-0552.1</w:t>
            </w:r>
          </w:p>
        </w:tc>
      </w:tr>
      <w:tr>
        <w:tc>
          <w:tcPr>
            <w:tcW w:type="dxa" w:w="2551"/>
            <w:shd w:val="clear" w:color="auto" w:fill="E8EEF5"/>
          </w:tcPr>
          <w:p>
            <w:r/>
            <w:r>
              <w:rPr>
                <w:b/>
                <w:sz w:val="18"/>
              </w:rPr>
              <w:t>Strategic Objective</w:t>
            </w:r>
          </w:p>
        </w:tc>
        <w:tc>
          <w:tcPr>
            <w:tcW w:type="dxa" w:w="6803"/>
          </w:tcPr>
          <w:p>
            <w:r/>
            <w:r>
              <w:rPr>
                <w:b w:val="0"/>
                <w:sz w:val="18"/>
              </w:rPr>
              <w:t>OPERATIONAL EXCELLENCE</w:t>
            </w:r>
          </w:p>
        </w:tc>
      </w:tr>
    </w:tbl>
    <w:p>
      <w:pPr>
        <w:pStyle w:val="Heading2"/>
      </w:pPr>
      <w:r>
        <w:rPr>
          <w:color w:val="1F3A5F"/>
        </w:rPr>
        <w:t>2. Beschreibung</w:t>
      </w:r>
    </w:p>
    <w:p>
      <w:pPr>
        <w:spacing w:after="80"/>
      </w:pPr>
      <w:r>
        <w:rPr>
          <w:b w:val="0"/>
          <w:i w:val="0"/>
          <w:sz w:val="20"/>
        </w:rPr>
        <w:t>Rollout des Konzern-WMS-Templates auf die Distributionszentren Poznań, Łódź und Brno. Ablösung der lokalen Lagerverwaltung in Access und Excel. Das Template wurde 2024 in Duisburg für Veltrax Retail erfolgreich eingeführt und bildet dort seither alle Filialbelieferungen ab.</w:t>
      </w:r>
    </w:p>
    <w:p>
      <w:pPr>
        <w:pStyle w:val="Heading2"/>
      </w:pPr>
      <w:r>
        <w:rPr>
          <w:color w:val="1F3A5F"/>
        </w:rPr>
        <w:t>3. Objective (OKR/VCP)</w:t>
      </w:r>
    </w:p>
    <w:p>
      <w:pPr>
        <w:spacing w:after="80"/>
      </w:pPr>
      <w:r>
        <w:rPr>
          <w:b w:val="0"/>
          <w:i w:val="0"/>
          <w:sz w:val="20"/>
        </w:rPr>
        <w:t>OBJ-520 – Ein WMS-Template für alle Distributionszentren.</w:t>
      </w:r>
    </w:p>
    <w:p>
      <w:pPr>
        <w:pStyle w:val="Heading2"/>
      </w:pPr>
      <w:r>
        <w:rPr>
          <w:color w:val="1F3A5F"/>
        </w:rPr>
        <w:t>4. Metrics</w:t>
      </w:r>
    </w:p>
    <w:p>
      <w:pPr>
        <w:pStyle w:val="ListBullet"/>
      </w:pPr>
      <w:r>
        <w:rPr>
          <w:sz w:val="20"/>
        </w:rPr>
        <w:t>Kommissionierleistung +15 % je Standort</w:t>
      </w:r>
    </w:p>
    <w:p>
      <w:pPr>
        <w:pStyle w:val="ListBullet"/>
      </w:pPr>
      <w:r>
        <w:rPr>
          <w:sz w:val="20"/>
        </w:rPr>
        <w:t>Inventurdifferenzen −50 %</w:t>
      </w:r>
    </w:p>
    <w:p>
      <w:pPr>
        <w:pStyle w:val="ListBullet"/>
      </w:pPr>
      <w:r>
        <w:rPr>
          <w:sz w:val="20"/>
        </w:rPr>
        <w:t>Lieferqualität (OTIF) 97 %</w:t>
      </w:r>
    </w:p>
    <w:p>
      <w:pPr>
        <w:pStyle w:val="Heading2"/>
      </w:pPr>
      <w:r>
        <w:rPr>
          <w:color w:val="1F3A5F"/>
        </w:rPr>
        <w:t>5. Planned Deliverables</w:t>
      </w:r>
    </w:p>
    <w:p>
      <w:pPr>
        <w:pStyle w:val="ListBullet"/>
      </w:pPr>
      <w:r>
        <w:rPr>
          <w:sz w:val="20"/>
        </w:rPr>
        <w:t>Fit-Gap je Standort</w:t>
      </w:r>
    </w:p>
    <w:p>
      <w:pPr>
        <w:pStyle w:val="ListBullet"/>
      </w:pPr>
      <w:r>
        <w:rPr>
          <w:sz w:val="20"/>
        </w:rPr>
        <w:t>Go-Live Poznań (Q1/2027), Łódź (Q2/2027), Brno (Q4/2027)</w:t>
      </w:r>
    </w:p>
    <w:p>
      <w:pPr>
        <w:pStyle w:val="ListBullet"/>
      </w:pPr>
      <w:r>
        <w:rPr>
          <w:sz w:val="20"/>
        </w:rPr>
        <w:t>Abschaltung Altsysteme</w:t>
      </w:r>
    </w:p>
    <w:p>
      <w:pPr>
        <w:pStyle w:val="Heading2"/>
      </w:pPr>
      <w:r>
        <w:rPr>
          <w:color w:val="1F3A5F"/>
        </w:rPr>
        <w:t>6. Finanzübersicht</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E8EEF5"/>
          </w:tcPr>
          <w:p>
            <w:r/>
            <w:r>
              <w:rPr>
                <w:b/>
                <w:sz w:val="18"/>
              </w:rPr>
              <w:t>Total One-Off</w:t>
            </w:r>
          </w:p>
        </w:tc>
        <w:tc>
          <w:tcPr>
            <w:tcW w:type="dxa" w:w="2493"/>
            <w:shd w:val="clear" w:color="auto" w:fill="E8EEF5"/>
          </w:tcPr>
          <w:p>
            <w:r/>
            <w:r>
              <w:rPr>
                <w:b/>
                <w:sz w:val="18"/>
              </w:rPr>
              <w:t>Avg. Recurrent p.a.</w:t>
            </w:r>
          </w:p>
        </w:tc>
        <w:tc>
          <w:tcPr>
            <w:tcW w:type="dxa" w:w="2493"/>
            <w:shd w:val="clear" w:color="auto" w:fill="E8EEF5"/>
          </w:tcPr>
          <w:p>
            <w:r/>
            <w:r>
              <w:rPr>
                <w:b/>
                <w:sz w:val="18"/>
              </w:rPr>
              <w:t>Already Spent</w:t>
            </w:r>
          </w:p>
        </w:tc>
        <w:tc>
          <w:tcPr>
            <w:tcW w:type="dxa" w:w="2493"/>
            <w:shd w:val="clear" w:color="auto" w:fill="E8EEF5"/>
          </w:tcPr>
          <w:p>
            <w:r/>
            <w:r>
              <w:rPr>
                <w:b/>
                <w:sz w:val="18"/>
              </w:rPr>
              <w:t>Iteration Value</w:t>
            </w:r>
          </w:p>
        </w:tc>
      </w:tr>
      <w:tr>
        <w:tc>
          <w:tcPr>
            <w:tcW w:type="dxa" w:w="2493"/>
          </w:tcPr>
          <w:p>
            <w:r/>
            <w:r>
              <w:rPr>
                <w:b w:val="0"/>
                <w:sz w:val="18"/>
              </w:rPr>
              <w:t>850 T€</w:t>
            </w:r>
          </w:p>
        </w:tc>
        <w:tc>
          <w:tcPr>
            <w:tcW w:type="dxa" w:w="2493"/>
          </w:tcPr>
          <w:p>
            <w:r/>
            <w:r>
              <w:rPr>
                <w:b w:val="0"/>
                <w:sz w:val="18"/>
              </w:rPr>
              <w:t>135 T€</w:t>
            </w:r>
          </w:p>
        </w:tc>
        <w:tc>
          <w:tcPr>
            <w:tcW w:type="dxa" w:w="2493"/>
          </w:tcPr>
          <w:p>
            <w:r/>
            <w:r>
              <w:rPr>
                <w:b w:val="0"/>
                <w:sz w:val="18"/>
              </w:rPr>
              <w:t>68 T€</w:t>
            </w:r>
          </w:p>
        </w:tc>
        <w:tc>
          <w:tcPr>
            <w:tcW w:type="dxa" w:w="2493"/>
          </w:tcPr>
          <w:p>
            <w:r/>
            <w:r>
              <w:rPr>
                <w:b w:val="0"/>
                <w:sz w:val="18"/>
              </w:rPr>
              <w:t>298 T€</w:t>
            </w:r>
          </w:p>
        </w:tc>
      </w:tr>
    </w:tbl>
    <w:p>
      <w:pPr>
        <w:spacing w:after="40"/>
      </w:pPr>
      <w:r>
        <w:rPr>
          <w:b w:val="0"/>
          <w:i w:val="0"/>
          <w:sz w:val="20"/>
        </w:rPr>
      </w:r>
    </w:p>
    <w:tbl>
      <w:tblPr>
        <w:tblStyle w:val="TableGrid"/>
        <w:tblW w:type="auto" w:w="0"/>
        <w:jc w:val="center"/>
        <w:tblLook w:firstColumn="1" w:firstRow="1" w:lastColumn="0" w:lastRow="0" w:noHBand="0" w:noVBand="1" w:val="04A0"/>
      </w:tblPr>
      <w:tblGrid>
        <w:gridCol w:w="4986"/>
        <w:gridCol w:w="4986"/>
      </w:tblGrid>
      <w:tr>
        <w:tc>
          <w:tcPr>
            <w:tcW w:type="dxa" w:w="2551"/>
            <w:shd w:val="clear" w:color="auto" w:fill="E8EEF5"/>
          </w:tcPr>
          <w:p>
            <w:r/>
            <w:r>
              <w:rPr>
                <w:b/>
                <w:sz w:val="18"/>
              </w:rPr>
              <w:t>Total costs (alle Jahre)</w:t>
            </w:r>
          </w:p>
        </w:tc>
        <w:tc>
          <w:tcPr>
            <w:tcW w:type="dxa" w:w="6803"/>
          </w:tcPr>
          <w:p>
            <w:r/>
            <w:r>
              <w:rPr>
                <w:b w:val="0"/>
                <w:sz w:val="18"/>
              </w:rPr>
              <w:t>2.065.000 €</w:t>
            </w:r>
          </w:p>
        </w:tc>
      </w:tr>
      <w:tr>
        <w:tc>
          <w:tcPr>
            <w:tcW w:type="dxa" w:w="2551"/>
            <w:shd w:val="clear" w:color="auto" w:fill="E8EEF5"/>
          </w:tcPr>
          <w:p>
            <w:r/>
            <w:r>
              <w:rPr>
                <w:b/>
                <w:sz w:val="18"/>
              </w:rPr>
              <w:t>Total benefits (alle Jahre)</w:t>
            </w:r>
          </w:p>
        </w:tc>
        <w:tc>
          <w:tcPr>
            <w:tcW w:type="dxa" w:w="6803"/>
          </w:tcPr>
          <w:p>
            <w:r/>
            <w:r>
              <w:rPr>
                <w:b w:val="0"/>
                <w:sz w:val="18"/>
              </w:rPr>
              <w:t>5.015.000 €</w:t>
            </w:r>
          </w:p>
        </w:tc>
      </w:tr>
      <w:tr>
        <w:tc>
          <w:tcPr>
            <w:tcW w:type="dxa" w:w="2551"/>
            <w:shd w:val="clear" w:color="auto" w:fill="E8EEF5"/>
          </w:tcPr>
          <w:p>
            <w:r/>
            <w:r>
              <w:rPr>
                <w:b/>
                <w:sz w:val="18"/>
              </w:rPr>
              <w:t>EBIT (alle Jahre)</w:t>
            </w:r>
          </w:p>
        </w:tc>
        <w:tc>
          <w:tcPr>
            <w:tcW w:type="dxa" w:w="6803"/>
          </w:tcPr>
          <w:p>
            <w:r/>
            <w:r>
              <w:rPr>
                <w:b w:val="0"/>
                <w:sz w:val="18"/>
              </w:rPr>
              <w:t>2.950.000 €</w:t>
            </w:r>
          </w:p>
        </w:tc>
      </w:tr>
      <w:tr>
        <w:tc>
          <w:tcPr>
            <w:tcW w:type="dxa" w:w="2551"/>
            <w:shd w:val="clear" w:color="auto" w:fill="E8EEF5"/>
          </w:tcPr>
          <w:p>
            <w:r/>
            <w:r>
              <w:rPr>
                <w:b/>
                <w:sz w:val="18"/>
              </w:rPr>
              <w:t>Discounted EVA (alle Jahre)</w:t>
            </w:r>
          </w:p>
        </w:tc>
        <w:tc>
          <w:tcPr>
            <w:tcW w:type="dxa" w:w="6803"/>
          </w:tcPr>
          <w:p>
            <w:r/>
            <w:r>
              <w:rPr>
                <w:b w:val="0"/>
                <w:sz w:val="18"/>
              </w:rPr>
              <w:t>1.345.789 €</w:t>
            </w:r>
          </w:p>
        </w:tc>
      </w:tr>
      <w:tr>
        <w:tc>
          <w:tcPr>
            <w:tcW w:type="dxa" w:w="2551"/>
            <w:shd w:val="clear" w:color="auto" w:fill="E8EEF5"/>
          </w:tcPr>
          <w:p>
            <w:r/>
            <w:r>
              <w:rPr>
                <w:b/>
                <w:sz w:val="18"/>
              </w:rPr>
              <w:t>ROI (alle Jahre)</w:t>
            </w:r>
          </w:p>
        </w:tc>
        <w:tc>
          <w:tcPr>
            <w:tcW w:type="dxa" w:w="6803"/>
          </w:tcPr>
          <w:p>
            <w:r/>
            <w:r>
              <w:rPr>
                <w:b w:val="0"/>
                <w:sz w:val="18"/>
              </w:rPr>
              <w:t>1,43</w:t>
            </w:r>
          </w:p>
        </w:tc>
      </w:tr>
      <w:tr>
        <w:tc>
          <w:tcPr>
            <w:tcW w:type="dxa" w:w="2551"/>
            <w:shd w:val="clear" w:color="auto" w:fill="E8EEF5"/>
          </w:tcPr>
          <w:p>
            <w:r/>
            <w:r>
              <w:rPr>
                <w:b/>
                <w:sz w:val="18"/>
              </w:rPr>
              <w:t>Payback Period</w:t>
            </w:r>
          </w:p>
        </w:tc>
        <w:tc>
          <w:tcPr>
            <w:tcW w:type="dxa" w:w="6803"/>
          </w:tcPr>
          <w:p>
            <w:r/>
            <w:r>
              <w:rPr>
                <w:b w:val="0"/>
                <w:sz w:val="18"/>
              </w:rPr>
              <w:t>≈ 31,0 Monate</w:t>
            </w:r>
          </w:p>
        </w:tc>
      </w:tr>
    </w:tbl>
    <w:p>
      <w:pPr>
        <w:spacing w:after="40"/>
      </w:pPr>
      <w:r>
        <w:rPr>
          <w:b w:val="0"/>
          <w:i w:val="0"/>
          <w:sz w:val="20"/>
        </w:rPr>
      </w:r>
    </w:p>
    <w:p>
      <w:pPr>
        <w:spacing w:after="40"/>
      </w:pPr>
      <w:r>
        <w:rPr>
          <w:b/>
          <w:i w:val="0"/>
          <w:sz w:val="20"/>
        </w:rPr>
        <w:t>One-off (Startjahr):</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E8EEF5"/>
          </w:tcPr>
          <w:p>
            <w:r/>
            <w:r>
              <w:rPr>
                <w:b/>
                <w:sz w:val="18"/>
              </w:rPr>
              <w:t>Position</w:t>
            </w:r>
          </w:p>
        </w:tc>
        <w:tc>
          <w:tcPr>
            <w:tcW w:type="dxa" w:w="3324"/>
            <w:shd w:val="clear" w:color="auto" w:fill="E8EEF5"/>
          </w:tcPr>
          <w:p>
            <w:r/>
            <w:r>
              <w:rPr>
                <w:b/>
                <w:sz w:val="18"/>
              </w:rPr>
              <w:t>Betrag (€)</w:t>
            </w:r>
          </w:p>
        </w:tc>
        <w:tc>
          <w:tcPr>
            <w:tcW w:type="dxa" w:w="3324"/>
            <w:shd w:val="clear" w:color="auto" w:fill="E8EEF5"/>
          </w:tcPr>
          <w:p>
            <w:r/>
            <w:r>
              <w:rPr>
                <w:b/>
                <w:sz w:val="18"/>
              </w:rPr>
              <w:t>Beschreibung</w:t>
            </w:r>
          </w:p>
        </w:tc>
      </w:tr>
      <w:tr>
        <w:tc>
          <w:tcPr>
            <w:tcW w:type="dxa" w:w="3324"/>
          </w:tcPr>
          <w:p>
            <w:r/>
            <w:r>
              <w:rPr>
                <w:b w:val="0"/>
                <w:sz w:val="18"/>
              </w:rPr>
              <w:t>SC 70 - Project Capitalizable (intern)</w:t>
            </w:r>
          </w:p>
        </w:tc>
        <w:tc>
          <w:tcPr>
            <w:tcW w:type="dxa" w:w="3324"/>
          </w:tcPr>
          <w:p>
            <w:r/>
            <w:r>
              <w:rPr>
                <w:b w:val="0"/>
                <w:sz w:val="18"/>
              </w:rPr>
              <w:t>150.000</w:t>
            </w:r>
          </w:p>
        </w:tc>
        <w:tc>
          <w:tcPr>
            <w:tcW w:type="dxa" w:w="3324"/>
          </w:tcPr>
          <w:p>
            <w:r/>
            <w:r>
              <w:rPr>
                <w:b w:val="0"/>
                <w:sz w:val="18"/>
              </w:rPr>
              <w:t>Internal product, process and architecture effort</w:t>
            </w:r>
          </w:p>
        </w:tc>
      </w:tr>
      <w:tr>
        <w:tc>
          <w:tcPr>
            <w:tcW w:type="dxa" w:w="3324"/>
          </w:tcPr>
          <w:p>
            <w:r/>
            <w:r>
              <w:rPr>
                <w:b w:val="0"/>
                <w:sz w:val="18"/>
              </w:rPr>
              <w:t>SC 70 - Project Capitalizable (extern)</w:t>
            </w:r>
          </w:p>
        </w:tc>
        <w:tc>
          <w:tcPr>
            <w:tcW w:type="dxa" w:w="3324"/>
          </w:tcPr>
          <w:p>
            <w:r/>
            <w:r>
              <w:rPr>
                <w:b w:val="0"/>
                <w:sz w:val="18"/>
              </w:rPr>
              <w:t>320.000</w:t>
            </w:r>
          </w:p>
        </w:tc>
        <w:tc>
          <w:tcPr>
            <w:tcW w:type="dxa" w:w="3324"/>
          </w:tcPr>
          <w:p>
            <w:r/>
            <w:r>
              <w:rPr>
                <w:b w:val="0"/>
                <w:sz w:val="18"/>
              </w:rPr>
              <w:t>External development / implementation</w:t>
            </w:r>
          </w:p>
        </w:tc>
      </w:tr>
      <w:tr>
        <w:tc>
          <w:tcPr>
            <w:tcW w:type="dxa" w:w="3324"/>
          </w:tcPr>
          <w:p>
            <w:r/>
            <w:r>
              <w:rPr>
                <w:b w:val="0"/>
                <w:sz w:val="18"/>
              </w:rPr>
              <w:t>SC 90 - Software Licenses (intern)</w:t>
            </w:r>
          </w:p>
        </w:tc>
        <w:tc>
          <w:tcPr>
            <w:tcW w:type="dxa" w:w="3324"/>
          </w:tcPr>
          <w:p>
            <w:r/>
            <w:r>
              <w:rPr>
                <w:b w:val="0"/>
                <w:sz w:val="18"/>
              </w:rPr>
              <w:t>40.000</w:t>
            </w:r>
          </w:p>
        </w:tc>
        <w:tc>
          <w:tcPr>
            <w:tcW w:type="dxa" w:w="3324"/>
          </w:tcPr>
          <w:p>
            <w:r/>
            <w:r>
              <w:rPr>
                <w:b w:val="0"/>
                <w:sz w:val="18"/>
              </w:rPr>
              <w:t>Software licences / tooling</w:t>
            </w:r>
          </w:p>
        </w:tc>
      </w:tr>
      <w:tr>
        <w:tc>
          <w:tcPr>
            <w:tcW w:type="dxa" w:w="3324"/>
          </w:tcPr>
          <w:p>
            <w:r/>
            <w:r>
              <w:rPr>
                <w:b w:val="0"/>
                <w:sz w:val="18"/>
              </w:rPr>
              <w:t>Local IT/IM Investments (extern)</w:t>
            </w:r>
          </w:p>
        </w:tc>
        <w:tc>
          <w:tcPr>
            <w:tcW w:type="dxa" w:w="3324"/>
          </w:tcPr>
          <w:p>
            <w:r/>
            <w:r>
              <w:rPr>
                <w:b w:val="0"/>
                <w:sz w:val="18"/>
              </w:rPr>
              <w:t>180.000</w:t>
            </w:r>
          </w:p>
        </w:tc>
        <w:tc>
          <w:tcPr>
            <w:tcW w:type="dxa" w:w="3324"/>
          </w:tcPr>
          <w:p>
            <w:r/>
            <w:r>
              <w:rPr>
                <w:b w:val="0"/>
                <w:sz w:val="18"/>
              </w:rPr>
              <w:t>Local rollout infrastructure, hardware and devices</w:t>
            </w:r>
          </w:p>
        </w:tc>
      </w:tr>
      <w:tr>
        <w:tc>
          <w:tcPr>
            <w:tcW w:type="dxa" w:w="3324"/>
          </w:tcPr>
          <w:p>
            <w:r/>
            <w:r>
              <w:rPr>
                <w:b w:val="0"/>
                <w:sz w:val="18"/>
              </w:rPr>
              <w:t>SC 10 - Project Non Capitalizable (intern)</w:t>
            </w:r>
          </w:p>
        </w:tc>
        <w:tc>
          <w:tcPr>
            <w:tcW w:type="dxa" w:w="3324"/>
          </w:tcPr>
          <w:p>
            <w:r/>
            <w:r>
              <w:rPr>
                <w:b w:val="0"/>
                <w:sz w:val="18"/>
              </w:rPr>
              <w:t>70.000</w:t>
            </w:r>
          </w:p>
        </w:tc>
        <w:tc>
          <w:tcPr>
            <w:tcW w:type="dxa" w:w="3324"/>
          </w:tcPr>
          <w:p>
            <w:r/>
            <w:r>
              <w:rPr>
                <w:b w:val="0"/>
                <w:sz w:val="18"/>
              </w:rPr>
              <w:t>Internal rollout, testing and change effort</w:t>
            </w:r>
          </w:p>
        </w:tc>
      </w:tr>
      <w:tr>
        <w:tc>
          <w:tcPr>
            <w:tcW w:type="dxa" w:w="3324"/>
          </w:tcPr>
          <w:p>
            <w:r/>
            <w:r>
              <w:rPr>
                <w:b w:val="0"/>
                <w:sz w:val="18"/>
              </w:rPr>
              <w:t>SC 10 - Project Non Capitalizable (extern)</w:t>
            </w:r>
          </w:p>
        </w:tc>
        <w:tc>
          <w:tcPr>
            <w:tcW w:type="dxa" w:w="3324"/>
          </w:tcPr>
          <w:p>
            <w:r/>
            <w:r>
              <w:rPr>
                <w:b w:val="0"/>
                <w:sz w:val="18"/>
              </w:rPr>
              <w:t>90.000</w:t>
            </w:r>
          </w:p>
        </w:tc>
        <w:tc>
          <w:tcPr>
            <w:tcW w:type="dxa" w:w="3324"/>
          </w:tcPr>
          <w:p>
            <w:r/>
            <w:r>
              <w:rPr>
                <w:b w:val="0"/>
                <w:sz w:val="18"/>
              </w:rPr>
              <w:t>External rollout, migration and launch support</w:t>
            </w:r>
          </w:p>
        </w:tc>
      </w:tr>
    </w:tbl>
    <w:p>
      <w:pPr>
        <w:spacing w:after="40"/>
      </w:pPr>
      <w:r>
        <w:rPr>
          <w:b w:val="0"/>
          <w:i w:val="0"/>
          <w:sz w:val="20"/>
        </w:rPr>
      </w:r>
    </w:p>
    <w:p>
      <w:pPr>
        <w:spacing w:after="40"/>
      </w:pPr>
      <w:r>
        <w:rPr>
          <w:b/>
          <w:i w:val="0"/>
          <w:sz w:val="20"/>
        </w:rPr>
        <w:t>Recurrent (ab Go-Live, p.a.):</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E8EEF5"/>
          </w:tcPr>
          <w:p>
            <w:r/>
            <w:r>
              <w:rPr>
                <w:b/>
                <w:sz w:val="18"/>
              </w:rPr>
              <w:t>Position</w:t>
            </w:r>
          </w:p>
        </w:tc>
        <w:tc>
          <w:tcPr>
            <w:tcW w:type="dxa" w:w="3324"/>
            <w:shd w:val="clear" w:color="auto" w:fill="E8EEF5"/>
          </w:tcPr>
          <w:p>
            <w:r/>
            <w:r>
              <w:rPr>
                <w:b/>
                <w:sz w:val="18"/>
              </w:rPr>
              <w:t>Betrag (€)</w:t>
            </w:r>
          </w:p>
        </w:tc>
        <w:tc>
          <w:tcPr>
            <w:tcW w:type="dxa" w:w="3324"/>
            <w:shd w:val="clear" w:color="auto" w:fill="E8EEF5"/>
          </w:tcPr>
          <w:p>
            <w:r/>
            <w:r>
              <w:rPr>
                <w:b/>
                <w:sz w:val="18"/>
              </w:rPr>
              <w:t>Beschreibung</w:t>
            </w:r>
          </w:p>
        </w:tc>
      </w:tr>
      <w:tr>
        <w:tc>
          <w:tcPr>
            <w:tcW w:type="dxa" w:w="3324"/>
          </w:tcPr>
          <w:p>
            <w:r/>
            <w:r>
              <w:rPr>
                <w:b w:val="0"/>
                <w:sz w:val="18"/>
              </w:rPr>
              <w:t>SC 30 - Maint. and Support (intern)</w:t>
            </w:r>
          </w:p>
        </w:tc>
        <w:tc>
          <w:tcPr>
            <w:tcW w:type="dxa" w:w="3324"/>
          </w:tcPr>
          <w:p>
            <w:r/>
            <w:r>
              <w:rPr>
                <w:b w:val="0"/>
                <w:sz w:val="18"/>
              </w:rPr>
              <w:t>40.000</w:t>
            </w:r>
          </w:p>
        </w:tc>
        <w:tc>
          <w:tcPr>
            <w:tcW w:type="dxa" w:w="3324"/>
          </w:tcPr>
          <w:p>
            <w:r/>
            <w:r>
              <w:rPr>
                <w:b w:val="0"/>
                <w:sz w:val="18"/>
              </w:rPr>
              <w:t>Internal support and application operations</w:t>
            </w:r>
          </w:p>
        </w:tc>
      </w:tr>
      <w:tr>
        <w:tc>
          <w:tcPr>
            <w:tcW w:type="dxa" w:w="3324"/>
          </w:tcPr>
          <w:p>
            <w:r/>
            <w:r>
              <w:rPr>
                <w:b w:val="0"/>
                <w:sz w:val="18"/>
              </w:rPr>
              <w:t>SC 30 - SaaS (extern)</w:t>
            </w:r>
          </w:p>
        </w:tc>
        <w:tc>
          <w:tcPr>
            <w:tcW w:type="dxa" w:w="3324"/>
          </w:tcPr>
          <w:p>
            <w:r/>
            <w:r>
              <w:rPr>
                <w:b w:val="0"/>
                <w:sz w:val="18"/>
              </w:rPr>
              <w:t>60.000</w:t>
            </w:r>
          </w:p>
        </w:tc>
        <w:tc>
          <w:tcPr>
            <w:tcW w:type="dxa" w:w="3324"/>
          </w:tcPr>
          <w:p>
            <w:r/>
            <w:r>
              <w:rPr>
                <w:b w:val="0"/>
                <w:sz w:val="18"/>
              </w:rPr>
              <w:t>SaaS / cloud services</w:t>
            </w:r>
          </w:p>
        </w:tc>
      </w:tr>
      <w:tr>
        <w:tc>
          <w:tcPr>
            <w:tcW w:type="dxa" w:w="3324"/>
          </w:tcPr>
          <w:p>
            <w:r/>
            <w:r>
              <w:rPr>
                <w:b w:val="0"/>
                <w:sz w:val="18"/>
              </w:rPr>
              <w:t>SC 30 - Maint. for ext. SW Licenses (extern)</w:t>
            </w:r>
          </w:p>
        </w:tc>
        <w:tc>
          <w:tcPr>
            <w:tcW w:type="dxa" w:w="3324"/>
          </w:tcPr>
          <w:p>
            <w:r/>
            <w:r>
              <w:rPr>
                <w:b w:val="0"/>
                <w:sz w:val="18"/>
              </w:rPr>
              <w:t>35.000</w:t>
            </w:r>
          </w:p>
        </w:tc>
        <w:tc>
          <w:tcPr>
            <w:tcW w:type="dxa" w:w="3324"/>
          </w:tcPr>
          <w:p>
            <w:r/>
            <w:r>
              <w:rPr>
                <w:b w:val="0"/>
                <w:sz w:val="18"/>
              </w:rPr>
              <w:t>External maintenance and vendor support</w:t>
            </w:r>
          </w:p>
        </w:tc>
      </w:tr>
    </w:tbl>
    <w:p>
      <w:pPr>
        <w:pStyle w:val="Heading2"/>
      </w:pPr>
      <w:r>
        <w:rPr>
          <w:color w:val="1F3A5F"/>
        </w:rPr>
        <w:t>7. Erwarteter wirtschaftlicher Nutzen</w:t>
      </w:r>
    </w:p>
    <w:p>
      <w:pPr>
        <w:spacing w:after="40"/>
      </w:pPr>
      <w:r>
        <w:rPr>
          <w:b/>
          <w:i w:val="0"/>
          <w:sz w:val="20"/>
        </w:rPr>
        <w:t>Sales Benefits (p.a. ab Vollbetrieb):</w:t>
      </w:r>
    </w:p>
    <w:p>
      <w:pPr>
        <w:pStyle w:val="ListBullet"/>
      </w:pPr>
      <w:r>
        <w:rPr>
          <w:sz w:val="20"/>
        </w:rPr>
        <w:t>120.000 € — Höhere Lieferqualität, weniger Vertragsstrafen</w:t>
      </w:r>
    </w:p>
    <w:p>
      <w:pPr>
        <w:spacing w:after="40"/>
      </w:pPr>
      <w:r>
        <w:rPr>
          <w:b/>
          <w:i w:val="0"/>
          <w:sz w:val="20"/>
        </w:rPr>
        <w:t>Cost Savings (p.a. ab Vollbetrieb):</w:t>
      </w:r>
    </w:p>
    <w:p>
      <w:pPr>
        <w:pStyle w:val="ListBullet"/>
      </w:pPr>
      <w:r>
        <w:rPr>
          <w:sz w:val="20"/>
        </w:rPr>
        <w:t>260.000 € — Reduktion Inventurdifferenzen</w:t>
      </w:r>
    </w:p>
    <w:p>
      <w:pPr>
        <w:pStyle w:val="ListBullet"/>
      </w:pPr>
      <w:r>
        <w:rPr>
          <w:sz w:val="20"/>
        </w:rPr>
        <w:t>210.000 € — Produktivität Kommissionierung</w:t>
      </w:r>
    </w:p>
    <w:p>
      <w:pPr>
        <w:spacing w:after="80"/>
      </w:pPr>
      <w:r>
        <w:rPr>
          <w:b w:val="0"/>
          <w:i w:val="0"/>
          <w:sz w:val="20"/>
        </w:rPr>
        <w:t>Nicht-quantitative Nutzen: Wartbarkeit; Transparenz Bestände; Grundlage für Automatisierung.</w:t>
      </w:r>
    </w:p>
    <w:p>
      <w:pPr>
        <w:pStyle w:val="Heading2"/>
      </w:pPr>
      <w:r>
        <w:rPr>
          <w:color w:val="1F3A5F"/>
        </w:rPr>
        <w:t>8. Fachlicher und organisatorischer Nutzen</w:t>
      </w:r>
    </w:p>
    <w:p>
      <w:pPr>
        <w:spacing w:after="80"/>
      </w:pPr>
      <w:r>
        <w:rPr>
          <w:b w:val="0"/>
          <w:i w:val="0"/>
          <w:sz w:val="20"/>
        </w:rPr>
        <w:t>Die Access-Lösungen sind nicht mehr wartbar (Entwickler ausgeschieden). Inventurdifferenzen in PL betragen 1,8 % des Bestandswerts.</w:t>
      </w:r>
    </w:p>
    <w:p>
      <w:pPr>
        <w:pStyle w:val="Heading2"/>
      </w:pPr>
      <w:r>
        <w:rPr>
          <w:color w:val="1F3A5F"/>
        </w:rPr>
        <w:t>9. Betroffene Geschäftsprozesse</w:t>
      </w:r>
    </w:p>
    <w:p>
      <w:pPr>
        <w:spacing w:after="80"/>
      </w:pPr>
      <w:r>
        <w:rPr>
          <w:b w:val="0"/>
          <w:i w:val="0"/>
          <w:sz w:val="20"/>
        </w:rPr>
        <w:t>Wareneingang, Kommissionierung, Versand, Inventur, Retourenabwicklung.</w:t>
      </w:r>
    </w:p>
    <w:p>
      <w:pPr>
        <w:pStyle w:val="Heading2"/>
      </w:pPr>
      <w:r>
        <w:rPr>
          <w:color w:val="1F3A5F"/>
        </w:rPr>
        <w:t>10. Betroffene Organisationseinheiten</w:t>
      </w:r>
    </w:p>
    <w:p>
      <w:pPr>
        <w:spacing w:after="80"/>
      </w:pPr>
      <w:r>
        <w:rPr>
          <w:b w:val="0"/>
          <w:i w:val="0"/>
          <w:sz w:val="20"/>
        </w:rPr>
        <w:t>VELTRAX Logistics PL/CZ, Group Supply Chain, Corporate IT (WMS CoE).</w:t>
      </w:r>
    </w:p>
    <w:p>
      <w:pPr>
        <w:pStyle w:val="Heading2"/>
      </w:pPr>
      <w:r>
        <w:rPr>
          <w:color w:val="1F3A5F"/>
        </w:rPr>
        <w:t>11. Technische Abhängigkeiten</w:t>
      </w:r>
    </w:p>
    <w:p>
      <w:pPr>
        <w:spacing w:after="80"/>
      </w:pPr>
      <w:r>
        <w:rPr>
          <w:b w:val="0"/>
          <w:i w:val="0"/>
          <w:sz w:val="20"/>
        </w:rPr>
        <w:t>MDE-Hardware und WLAN-Ausleuchtung in den Hallen (LATTICE-Scope prüfen), Schnittstelle S/4 (ORBIT).</w:t>
      </w:r>
    </w:p>
    <w:p>
      <w:pPr>
        <w:pStyle w:val="Heading2"/>
      </w:pPr>
      <w:r>
        <w:rPr>
          <w:color w:val="1F3A5F"/>
        </w:rPr>
        <w:t>12. Organisatorische Abhängigkeiten</w:t>
      </w:r>
    </w:p>
    <w:p>
      <w:pPr>
        <w:spacing w:after="80"/>
      </w:pPr>
      <w:r>
        <w:rPr>
          <w:b w:val="0"/>
          <w:i w:val="0"/>
          <w:sz w:val="20"/>
        </w:rPr>
        <w:t>Saisonspitze Q4 blockiert Go-Lives; Schulung von ca. 600 gewerblichen Mitarbeitern.</w:t>
      </w:r>
    </w:p>
    <w:p>
      <w:pPr>
        <w:pStyle w:val="Heading2"/>
      </w:pPr>
      <w:r>
        <w:rPr>
          <w:color w:val="1F3A5F"/>
        </w:rPr>
        <w:t>13. Risikoanalyse</w:t>
      </w:r>
    </w:p>
    <w:p>
      <w:pPr>
        <w:pStyle w:val="ListBullet"/>
      </w:pPr>
      <w:r>
        <w:rPr>
          <w:sz w:val="20"/>
        </w:rPr>
        <w:t>WLAN-Abdeckung in Brno unzureichend</w:t>
      </w:r>
    </w:p>
    <w:p>
      <w:pPr>
        <w:pStyle w:val="ListBullet"/>
      </w:pPr>
      <w:r>
        <w:rPr>
          <w:sz w:val="20"/>
        </w:rPr>
        <w:t>Schulung in der Hochsaison</w:t>
      </w:r>
    </w:p>
    <w:p>
      <w:pPr>
        <w:pStyle w:val="ListBullet"/>
      </w:pPr>
      <w:r>
        <w:rPr>
          <w:sz w:val="20"/>
        </w:rPr>
        <w:t>Parallelbetrieb Alt/Neu</w:t>
      </w:r>
    </w:p>
    <w:p>
      <w:pPr>
        <w:pStyle w:val="Heading2"/>
      </w:pPr>
      <w:r>
        <w:rPr>
          <w:color w:val="1F3A5F"/>
        </w:rPr>
        <w:t>14. Anbieter-, Produkt- und Projektinformationen</w:t>
      </w:r>
    </w:p>
    <w:p>
      <w:pPr>
        <w:spacing w:after="80"/>
      </w:pPr>
      <w:r>
        <w:rPr>
          <w:b w:val="0"/>
          <w:i w:val="0"/>
          <w:sz w:val="20"/>
        </w:rPr>
        <w:t>SAP EWM (Template), Hardware Zebra über Rahmenvertrag.</w:t>
      </w:r>
    </w:p>
    <w:p>
      <w:pPr>
        <w:pStyle w:val="Heading2"/>
      </w:pPr>
      <w:r>
        <w:rPr>
          <w:color w:val="1F3A5F"/>
        </w:rPr>
        <w:t>15. Freigaben</w:t>
      </w:r>
    </w:p>
    <w:tbl>
      <w:tblPr>
        <w:tblStyle w:val="TableGrid"/>
        <w:tblW w:type="auto" w:w="0"/>
        <w:jc w:val="center"/>
        <w:tblLook w:firstColumn="1" w:firstRow="1" w:lastColumn="0" w:lastRow="0" w:noHBand="0" w:noVBand="1" w:val="04A0"/>
      </w:tblPr>
      <w:tblGrid>
        <w:gridCol w:w="4986"/>
        <w:gridCol w:w="4986"/>
      </w:tblGrid>
      <w:tr>
        <w:tc>
          <w:tcPr>
            <w:tcW w:type="dxa" w:w="2551"/>
            <w:shd w:val="clear" w:color="auto" w:fill="E8EEF5"/>
          </w:tcPr>
          <w:p>
            <w:r/>
            <w:r>
              <w:rPr>
                <w:b/>
                <w:sz w:val="18"/>
              </w:rPr>
              <w:t>Sponsor</w:t>
            </w:r>
          </w:p>
        </w:tc>
        <w:tc>
          <w:tcPr>
            <w:tcW w:type="dxa" w:w="6803"/>
          </w:tcPr>
          <w:p>
            <w:r/>
            <w:r>
              <w:rPr>
                <w:b w:val="0"/>
                <w:sz w:val="18"/>
              </w:rPr>
              <w:t>Dr. Kerstin Albrecht (COO Logistics)  ____________________  Datum: ________</w:t>
            </w:r>
          </w:p>
        </w:tc>
      </w:tr>
      <w:tr>
        <w:tc>
          <w:tcPr>
            <w:tcW w:type="dxa" w:w="2551"/>
            <w:shd w:val="clear" w:color="auto" w:fill="E8EEF5"/>
          </w:tcPr>
          <w:p>
            <w:r/>
            <w:r>
              <w:rPr>
                <w:b/>
                <w:sz w:val="18"/>
              </w:rPr>
              <w:t>IT Portfolio Board</w:t>
            </w:r>
          </w:p>
        </w:tc>
        <w:tc>
          <w:tcPr>
            <w:tcW w:type="dxa" w:w="6803"/>
          </w:tcPr>
          <w:p>
            <w:r/>
            <w:r>
              <w:rPr>
                <w:b w:val="0"/>
                <w:sz w:val="18"/>
              </w:rPr>
              <w:t>____________________  Datum: ________</w:t>
            </w:r>
          </w:p>
        </w:tc>
      </w:tr>
      <w:tr>
        <w:tc>
          <w:tcPr>
            <w:tcW w:type="dxa" w:w="2551"/>
            <w:shd w:val="clear" w:color="auto" w:fill="E8EEF5"/>
          </w:tcPr>
          <w:p>
            <w:r/>
            <w:r>
              <w:rPr>
                <w:b/>
                <w:sz w:val="18"/>
              </w:rPr>
              <w:t>Controlling</w:t>
            </w:r>
          </w:p>
        </w:tc>
        <w:tc>
          <w:tcPr>
            <w:tcW w:type="dxa" w:w="6803"/>
          </w:tcPr>
          <w:p>
            <w:r/>
            <w:r>
              <w:rPr>
                <w:b w:val="0"/>
                <w:sz w:val="18"/>
              </w:rPr>
              <w:t>____________________  Datum: ________</w:t>
            </w:r>
          </w:p>
        </w:tc>
      </w:tr>
    </w:tbl>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88888"/>
        <w:sz w:val="14"/>
      </w:rPr>
      <w:t>VELTRAX Group SE – IT Portfolio Management – BC-2026-0552.1 – Fiktives Beispiel für Testzwecke, alle Namen und Zahlen erfunden.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