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666666"/>
          <w:sz w:val="18"/>
        </w:rPr>
        <w:t>PRJ-0572.1</w:t>
      </w:r>
    </w:p>
    <w:p>
      <w:pPr>
        <w:spacing w:after="40"/>
      </w:pPr>
      <w:r>
        <w:rPr>
          <w:b/>
          <w:i w:val="0"/>
          <w:color w:val="1F3A5F"/>
          <w:sz w:val="30"/>
        </w:rPr>
        <w:t>QUARTZ – PRODUKTIONSDATENERFASSUNG UND MES-ANBINDUNG WERKE KASSEL UND OSTRAVA</w:t>
      </w:r>
    </w:p>
    <w:p>
      <w:pPr>
        <w:spacing w:after="160"/>
      </w:pPr>
      <w:r>
        <w:rPr>
          <w:b w:val="0"/>
          <w:i w:val="0"/>
          <w:color w:val="666666"/>
          <w:sz w:val="16"/>
        </w:rPr>
        <w:t>VELTRAX Group SE · Project Charter · Antragsdatum: 2026-09-02 · Vertraulichkeit: intern</w:t>
      </w:r>
    </w:p>
    <w:p>
      <w:pPr>
        <w:pStyle w:val="Heading2"/>
      </w:pPr>
      <w:r>
        <w:rPr>
          <w:color w:val="1F3A5F"/>
        </w:rPr>
        <w:t>1. Stammdaten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Partner / Operating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Industrial GmbH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Antragstellende Einheit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Industrial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Michael Stahnke (COO Industrial)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Birgit Lohmann (Head of Manufacturing IT)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Lead – Affected Countries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DE; CZ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Start (FY) / Go-Live (FY)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 / 2027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BC-2026-0572.1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Strategic Objective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CUSTOMER VALUE</w:t>
            </w:r>
          </w:p>
        </w:tc>
      </w:tr>
    </w:tbl>
    <w:p>
      <w:pPr>
        <w:pStyle w:val="Heading2"/>
      </w:pPr>
      <w:r>
        <w:rPr>
          <w:color w:val="1F3A5F"/>
        </w:rPr>
        <w:t>2. Beschreibung</w:t>
      </w:r>
    </w:p>
    <w:p>
      <w:pPr>
        <w:spacing w:after="80"/>
      </w:pPr>
      <w:r>
        <w:rPr>
          <w:b w:val="0"/>
          <w:i w:val="0"/>
          <w:sz w:val="20"/>
        </w:rPr>
        <w:t>Einführung eines Manufacturing Execution Systems (Auftragsrückmeldung, Maschinendatenerfassung, OEE, Traceability) in den beiden Hauptwerken. Ablösung von Papier-Laufkarten und manueller Rückmeldung im ERP.</w:t>
      </w:r>
    </w:p>
    <w:p>
      <w:pPr>
        <w:pStyle w:val="Heading2"/>
      </w:pPr>
      <w:r>
        <w:rPr>
          <w:color w:val="1F3A5F"/>
        </w:rPr>
        <w:t>3. Objective (OKR/VCP)</w:t>
      </w:r>
    </w:p>
    <w:p>
      <w:pPr>
        <w:spacing w:after="80"/>
      </w:pPr>
      <w:r>
        <w:rPr>
          <w:b w:val="0"/>
          <w:i w:val="0"/>
          <w:sz w:val="20"/>
        </w:rPr>
        <w:t>OBJ-710 – OEE-Transparenz in Echtzeit an allen Linien.</w:t>
      </w:r>
    </w:p>
    <w:p>
      <w:pPr>
        <w:pStyle w:val="Heading2"/>
      </w:pPr>
      <w:r>
        <w:rPr>
          <w:color w:val="1F3A5F"/>
        </w:rPr>
        <w:t>4. Metrics</w:t>
      </w:r>
    </w:p>
    <w:p>
      <w:pPr>
        <w:pStyle w:val="ListBullet"/>
      </w:pPr>
      <w:r>
        <w:rPr>
          <w:sz w:val="20"/>
        </w:rPr>
        <w:t>OEE-Steigerung um 6 Prozentpunkte</w:t>
      </w:r>
    </w:p>
    <w:p>
      <w:pPr>
        <w:pStyle w:val="ListBullet"/>
      </w:pPr>
      <w:r>
        <w:rPr>
          <w:sz w:val="20"/>
        </w:rPr>
        <w:t>Rückmeldeverzögerung von 24 h auf &lt; 5 Minuten</w:t>
      </w:r>
    </w:p>
    <w:p>
      <w:pPr>
        <w:pStyle w:val="ListBullet"/>
      </w:pPr>
      <w:r>
        <w:rPr>
          <w:sz w:val="20"/>
        </w:rPr>
        <w:t>Rückverfolgbarkeit je Charge 100 %</w:t>
      </w:r>
    </w:p>
    <w:p>
      <w:pPr>
        <w:pStyle w:val="Heading2"/>
      </w:pPr>
      <w:r>
        <w:rPr>
          <w:color w:val="1F3A5F"/>
        </w:rPr>
        <w:t>5. Planned Deliverables</w:t>
      </w:r>
    </w:p>
    <w:p>
      <w:pPr>
        <w:pStyle w:val="ListBullet"/>
      </w:pPr>
      <w:r>
        <w:rPr>
          <w:sz w:val="20"/>
        </w:rPr>
        <w:t>Anbindung 38 Maschinen (OPC UA)</w:t>
      </w:r>
    </w:p>
    <w:p>
      <w:pPr>
        <w:pStyle w:val="ListBullet"/>
      </w:pPr>
      <w:r>
        <w:rPr>
          <w:sz w:val="20"/>
        </w:rPr>
        <w:t>MES-Rollout Kassel (Pilotlinie, dann Werk)</w:t>
      </w:r>
    </w:p>
    <w:p>
      <w:pPr>
        <w:pStyle w:val="ListBullet"/>
      </w:pPr>
      <w:r>
        <w:rPr>
          <w:sz w:val="20"/>
        </w:rPr>
        <w:t>Rollout Ostrava</w:t>
      </w:r>
    </w:p>
    <w:p>
      <w:pPr>
        <w:pStyle w:val="Heading2"/>
      </w:pPr>
      <w:r>
        <w:rPr>
          <w:color w:val="1F3A5F"/>
        </w:rPr>
        <w:t>6. Finanzübersicht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Total One-Off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Avg. Recurrent p.a.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Already Spent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Iteration Value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830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150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66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290 T€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costs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2.180.000 €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benefits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5.100.000 €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EBIT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2.920.000 €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Discounted EVA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1.332.232 €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ROI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1,34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Payback Period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≈ 30,5 Monate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One-off (Startjahr):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product, process and architecture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290.000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development / implementation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90 - Software Licenses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110.000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Software licences / tooling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Local IT/IM Investments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140.000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Local rollout infrastructure, hardware and devices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rollout, testing and change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70.000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rollout, migration and launch support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Recurrent (ab Go-Live, p.a.):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and Support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50.000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support and application operations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SaaS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40.000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SaaS / cloud services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for ext. SW Licenses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maintenance and vendor support</w:t>
            </w:r>
          </w:p>
        </w:tc>
      </w:tr>
    </w:tbl>
    <w:p>
      <w:pPr>
        <w:pStyle w:val="Heading2"/>
      </w:pPr>
      <w:r>
        <w:rPr>
          <w:color w:val="1F3A5F"/>
        </w:rPr>
        <w:t>7. Erwarteter wirtschaftlicher Nutzen</w:t>
      </w:r>
    </w:p>
    <w:p>
      <w:pPr>
        <w:spacing w:after="40"/>
      </w:pPr>
      <w:r>
        <w:rPr>
          <w:b/>
          <w:i w:val="0"/>
          <w:sz w:val="20"/>
        </w:rPr>
        <w:t>Sales Benefits (p.a. ab Vollbetrieb):</w:t>
      </w:r>
    </w:p>
    <w:p>
      <w:pPr>
        <w:pStyle w:val="ListBullet"/>
      </w:pPr>
      <w:r>
        <w:rPr>
          <w:sz w:val="20"/>
        </w:rPr>
        <w:t>200.000 € — Erfüllung Traceability-Anforderung, Sicherung Automotive-Umsätze</w:t>
      </w:r>
    </w:p>
    <w:p>
      <w:pPr>
        <w:spacing w:after="40"/>
      </w:pPr>
      <w:r>
        <w:rPr>
          <w:b/>
          <w:i w:val="0"/>
          <w:sz w:val="20"/>
        </w:rPr>
        <w:t>Cost Savings (p.a. ab Vollbetrieb):</w:t>
      </w:r>
    </w:p>
    <w:p>
      <w:pPr>
        <w:pStyle w:val="ListBullet"/>
      </w:pPr>
      <w:r>
        <w:rPr>
          <w:sz w:val="20"/>
        </w:rPr>
        <w:t>340.000 € — OEE-Steigerung (weniger Stillstand, Ausschuss)</w:t>
      </w:r>
    </w:p>
    <w:p>
      <w:pPr>
        <w:pStyle w:val="ListBullet"/>
      </w:pPr>
      <w:r>
        <w:rPr>
          <w:sz w:val="20"/>
        </w:rPr>
        <w:t>60.000 € — Wegfall manueller Rückmeldung</w:t>
      </w:r>
    </w:p>
    <w:p>
      <w:pPr>
        <w:spacing w:after="80"/>
      </w:pPr>
      <w:r>
        <w:rPr>
          <w:b w:val="0"/>
          <w:i w:val="0"/>
          <w:sz w:val="20"/>
        </w:rPr>
        <w:t>Nicht-quantitative Nutzen: Kundenanforderung; Datenbasis für ANVIL.</w:t>
      </w:r>
    </w:p>
    <w:p>
      <w:pPr>
        <w:pStyle w:val="Heading2"/>
      </w:pPr>
      <w:r>
        <w:rPr>
          <w:color w:val="1F3A5F"/>
        </w:rPr>
        <w:t>8. Fachlicher und organisatorischer Nutzen</w:t>
      </w:r>
    </w:p>
    <w:p>
      <w:pPr>
        <w:spacing w:after="80"/>
      </w:pPr>
      <w:r>
        <w:rPr>
          <w:b w:val="0"/>
          <w:i w:val="0"/>
          <w:sz w:val="20"/>
        </w:rPr>
        <w:t>Ohne Echtzeitdaten sind Stillstandsursachen nicht analysierbar; Kundenanforderung Traceability (Automotive-Kunden) ab 2027.</w:t>
      </w:r>
    </w:p>
    <w:p>
      <w:pPr>
        <w:pStyle w:val="Heading2"/>
      </w:pPr>
      <w:r>
        <w:rPr>
          <w:color w:val="1F3A5F"/>
        </w:rPr>
        <w:t>9. Betroffene Geschäftsprozesse</w:t>
      </w:r>
    </w:p>
    <w:p>
      <w:pPr>
        <w:spacing w:after="80"/>
      </w:pPr>
      <w:r>
        <w:rPr>
          <w:b w:val="0"/>
          <w:i w:val="0"/>
          <w:sz w:val="20"/>
        </w:rPr>
        <w:t>Produktionsplanung und -steuerung, Qualitätssicherung, Instandhaltung.</w:t>
      </w:r>
    </w:p>
    <w:p>
      <w:pPr>
        <w:pStyle w:val="Heading2"/>
      </w:pPr>
      <w:r>
        <w:rPr>
          <w:color w:val="1F3A5F"/>
        </w:rPr>
        <w:t>10. Betroffene Organisationseinheiten</w:t>
      </w:r>
    </w:p>
    <w:p>
      <w:pPr>
        <w:spacing w:after="80"/>
      </w:pPr>
      <w:r>
        <w:rPr>
          <w:b w:val="0"/>
          <w:i w:val="0"/>
          <w:sz w:val="20"/>
        </w:rPr>
        <w:t>Werke Kassel und Ostrava, Manufacturing IT, Qualitätsmanagement, Corporate IT (SAP).</w:t>
      </w:r>
    </w:p>
    <w:p>
      <w:pPr>
        <w:pStyle w:val="Heading2"/>
      </w:pPr>
      <w:r>
        <w:rPr>
          <w:color w:val="1F3A5F"/>
        </w:rPr>
        <w:t>11. Technische Abhängigkeiten</w:t>
      </w:r>
    </w:p>
    <w:p>
      <w:pPr>
        <w:spacing w:after="80"/>
      </w:pPr>
      <w:r>
        <w:rPr>
          <w:b w:val="0"/>
          <w:i w:val="0"/>
          <w:sz w:val="20"/>
        </w:rPr>
        <w:t>OT-Netz-Segmentierung (LATTICE), S/4-Schnittstelle (ORBIT), Maschinen ohne OPC-UA benötigen Retrofit.</w:t>
      </w:r>
    </w:p>
    <w:p>
      <w:pPr>
        <w:pStyle w:val="Heading2"/>
      </w:pPr>
      <w:r>
        <w:rPr>
          <w:color w:val="1F3A5F"/>
        </w:rPr>
        <w:t>12. Organisatorische Abhängigkeiten</w:t>
      </w:r>
    </w:p>
    <w:p>
      <w:pPr>
        <w:spacing w:after="80"/>
      </w:pPr>
      <w:r>
        <w:rPr>
          <w:b w:val="0"/>
          <w:i w:val="0"/>
          <w:sz w:val="20"/>
        </w:rPr>
        <w:t>Schichtmodelle für Schulung; Betriebsrat (Maschinendaten und Leistungserfassung).</w:t>
      </w:r>
    </w:p>
    <w:p>
      <w:pPr>
        <w:pStyle w:val="Heading2"/>
      </w:pPr>
      <w:r>
        <w:rPr>
          <w:color w:val="1F3A5F"/>
        </w:rPr>
        <w:t>13. Risikoanalyse</w:t>
      </w:r>
    </w:p>
    <w:p>
      <w:pPr>
        <w:pStyle w:val="ListBullet"/>
      </w:pPr>
      <w:r>
        <w:rPr>
          <w:sz w:val="20"/>
        </w:rPr>
        <w:t>Retrofit-Kosten alter Maschinen höher als geplant</w:t>
      </w:r>
    </w:p>
    <w:p>
      <w:pPr>
        <w:pStyle w:val="ListBullet"/>
      </w:pPr>
      <w:r>
        <w:rPr>
          <w:sz w:val="20"/>
        </w:rPr>
        <w:t>Betriebsvereinbarung Leistungserfassung</w:t>
      </w:r>
    </w:p>
    <w:p>
      <w:pPr>
        <w:pStyle w:val="ListBullet"/>
      </w:pPr>
      <w:r>
        <w:rPr>
          <w:sz w:val="20"/>
        </w:rPr>
        <w:t>OT-Sicherheit</w:t>
      </w:r>
    </w:p>
    <w:p>
      <w:pPr>
        <w:pStyle w:val="Heading2"/>
      </w:pPr>
      <w:r>
        <w:rPr>
          <w:color w:val="1F3A5F"/>
        </w:rPr>
        <w:t>14. Anbieter-, Produkt- und Projektinformationen</w:t>
      </w:r>
    </w:p>
    <w:p>
      <w:pPr>
        <w:spacing w:after="80"/>
      </w:pPr>
      <w:r>
        <w:rPr>
          <w:b w:val="0"/>
          <w:i w:val="0"/>
          <w:sz w:val="20"/>
        </w:rPr>
        <w:t>Siemens Opcenter oder MPDV HYDRA (Auswahl Q2/2026).</w:t>
      </w:r>
    </w:p>
    <w:p>
      <w:pPr>
        <w:pStyle w:val="Heading2"/>
      </w:pPr>
      <w:r>
        <w:rPr>
          <w:color w:val="1F3A5F"/>
        </w:rPr>
        <w:t>15. Freigaben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Michael Stahnke (COO Industrial)  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IT Portfolio Board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Controlling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4"/>
      </w:rPr>
      <w:t>VELTRAX Group SE – IT Portfolio Management – BC-2026-0572.1 – Fiktives Beispiel für Testzwecke, alle Namen und Zahlen erfunden.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