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666666"/>
          <w:sz w:val="18"/>
        </w:rPr>
        <w:t>PRJ-0646.1</w:t>
      </w:r>
    </w:p>
    <w:p>
      <w:pPr>
        <w:spacing w:after="40"/>
      </w:pPr>
      <w:r>
        <w:rPr>
          <w:b/>
          <w:i w:val="0"/>
          <w:color w:val="1F3A5F"/>
          <w:sz w:val="30"/>
        </w:rPr>
        <w:t>CINDER – E-INVOICING UND VIDA-COMPLIANCE (XRECHNUNG, ZUGFERD, PEPPOL)</w:t>
      </w:r>
    </w:p>
    <w:p>
      <w:pPr>
        <w:spacing w:after="160"/>
      </w:pPr>
      <w:r>
        <w:rPr>
          <w:b w:val="0"/>
          <w:i w:val="0"/>
          <w:color w:val="666666"/>
          <w:sz w:val="16"/>
        </w:rPr>
        <w:t>VELTRAX Group SE · Project Charter · Antragsdatum: 2026-09-01 · Vertraulichkeit: intern</w:t>
      </w:r>
    </w:p>
    <w:p>
      <w:pPr>
        <w:pStyle w:val="Heading2"/>
      </w:pPr>
      <w:r>
        <w:rPr>
          <w:color w:val="1F3A5F"/>
        </w:rPr>
        <w:t>1. Stammdaten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Partner / Operating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VELTRAX Corporate Services GmbH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Antragstellende Einheit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Group Finance / Tax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Dr. Markus Feldhaus (CFO)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Katrin Voss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Lead – Affected Countries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CORP; DE; AT; FR; ES; IT; PL; BE; RO; HU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Start (FY) / Go-Live (FY)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2026 / 2027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Project Number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BC-2026-0646.1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Strategic Objective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CUSTOMER VALUE</w:t>
            </w:r>
          </w:p>
        </w:tc>
      </w:tr>
    </w:tbl>
    <w:p>
      <w:pPr>
        <w:pStyle w:val="Heading2"/>
      </w:pPr>
      <w:r>
        <w:rPr>
          <w:color w:val="1F3A5F"/>
        </w:rPr>
        <w:t>2. Beschreibung</w:t>
      </w:r>
    </w:p>
    <w:p>
      <w:pPr>
        <w:spacing w:after="80"/>
      </w:pPr>
      <w:r>
        <w:rPr>
          <w:b w:val="0"/>
          <w:i w:val="0"/>
          <w:sz w:val="20"/>
        </w:rPr>
        <w:t>Umsetzung der gesetzlichen E-Rechnungspflichten (DE ab 2027 Ausgang, FR/PL/BE/RO länderspezifisch, EU ViDA) für Ein- und Ausgangsrechnungen über eine zentrale E-Invoicing-Plattform mit Anbindung an ERP und Kundenrechnungsarchiv.</w:t>
      </w:r>
    </w:p>
    <w:p>
      <w:pPr>
        <w:pStyle w:val="Heading2"/>
      </w:pPr>
      <w:r>
        <w:rPr>
          <w:color w:val="1F3A5F"/>
        </w:rPr>
        <w:t>3. Objective (OKR/VCP)</w:t>
      </w:r>
    </w:p>
    <w:p>
      <w:pPr>
        <w:spacing w:after="80"/>
      </w:pPr>
      <w:r>
        <w:rPr>
          <w:b w:val="0"/>
          <w:i w:val="0"/>
          <w:sz w:val="20"/>
        </w:rPr>
        <w:t>OBJ-116 – Gesetzeskonforme E-Rechnung in allen Ländern fristgerecht.</w:t>
      </w:r>
    </w:p>
    <w:p>
      <w:pPr>
        <w:pStyle w:val="Heading2"/>
      </w:pPr>
      <w:r>
        <w:rPr>
          <w:color w:val="1F3A5F"/>
        </w:rPr>
        <w:t>4. Metrics</w:t>
      </w:r>
    </w:p>
    <w:p>
      <w:pPr>
        <w:pStyle w:val="ListBullet"/>
      </w:pPr>
      <w:r>
        <w:rPr>
          <w:sz w:val="20"/>
        </w:rPr>
        <w:t>Fristgerechte Compliance je Land: 100 %</w:t>
      </w:r>
    </w:p>
    <w:p>
      <w:pPr>
        <w:pStyle w:val="ListBullet"/>
      </w:pPr>
      <w:r>
        <w:rPr>
          <w:sz w:val="20"/>
        </w:rPr>
        <w:t>E-Rechnungsquote Ausgang 95 %</w:t>
      </w:r>
    </w:p>
    <w:p>
      <w:pPr>
        <w:pStyle w:val="ListBullet"/>
      </w:pPr>
      <w:r>
        <w:rPr>
          <w:sz w:val="20"/>
        </w:rPr>
        <w:t>Manuelle Rechnungserfassung Eingang −60 %</w:t>
      </w:r>
    </w:p>
    <w:p>
      <w:pPr>
        <w:pStyle w:val="Heading2"/>
      </w:pPr>
      <w:r>
        <w:rPr>
          <w:color w:val="1F3A5F"/>
        </w:rPr>
        <w:t>5. Planned Deliverables</w:t>
      </w:r>
    </w:p>
    <w:p>
      <w:pPr>
        <w:pStyle w:val="ListBullet"/>
      </w:pPr>
      <w:r>
        <w:rPr>
          <w:sz w:val="20"/>
        </w:rPr>
        <w:t>Plattform-Auswahl und Anbindung S/4 und ECC</w:t>
      </w:r>
    </w:p>
    <w:p>
      <w:pPr>
        <w:pStyle w:val="ListBullet"/>
      </w:pPr>
      <w:r>
        <w:rPr>
          <w:sz w:val="20"/>
        </w:rPr>
        <w:t>Rollout DE/AT (2026/27)</w:t>
      </w:r>
    </w:p>
    <w:p>
      <w:pPr>
        <w:pStyle w:val="ListBullet"/>
      </w:pPr>
      <w:r>
        <w:rPr>
          <w:sz w:val="20"/>
        </w:rPr>
        <w:t>Rollout FR/PL/BE/RO/ES/IT/HU nach Fristen</w:t>
      </w:r>
    </w:p>
    <w:p>
      <w:pPr>
        <w:pStyle w:val="Heading2"/>
      </w:pPr>
      <w:r>
        <w:rPr>
          <w:color w:val="1F3A5F"/>
        </w:rPr>
        <w:t>6. Finanzübersicht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Total One-Off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Avg. Recurrent p.a.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Already Spent</w:t>
            </w:r>
          </w:p>
        </w:tc>
        <w:tc>
          <w:tcPr>
            <w:tcW w:type="dxa" w:w="2493"/>
            <w:shd w:val="clear" w:color="auto" w:fill="E8EEF5"/>
          </w:tcPr>
          <w:p>
            <w:r/>
            <w:r>
              <w:rPr>
                <w:b/>
                <w:sz w:val="18"/>
              </w:rPr>
              <w:t>Iteration Value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520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210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42 T€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182 T€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costs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2.410.000 €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Total benefits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2.720.000 €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EBIT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310.000 €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Discounted EVA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40.798 €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ROI (alle Jahre)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0,13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Payback Period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≈ 86,2 Monate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One-off (Startjahr):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product, process and architecture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70 - Project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210.000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development / implementation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90 - Software Licenses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Software licences / tooling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60.000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rollout, testing and change effort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10 - Project Non Capitalizable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70.000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rollout, migration and launch support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</w:r>
    </w:p>
    <w:p>
      <w:pPr>
        <w:spacing w:after="40"/>
      </w:pPr>
      <w:r>
        <w:rPr>
          <w:b/>
          <w:i w:val="0"/>
          <w:sz w:val="20"/>
        </w:rPr>
        <w:t>Recurrent (ab Go-Live, p.a.):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Betrag (€)</w:t>
            </w:r>
          </w:p>
        </w:tc>
        <w:tc>
          <w:tcPr>
            <w:tcW w:type="dxa" w:w="3324"/>
            <w:shd w:val="clear" w:color="auto" w:fill="E8EEF5"/>
          </w:tcPr>
          <w:p>
            <w:r/>
            <w:r>
              <w:rPr>
                <w:b/>
                <w:sz w:val="18"/>
              </w:rPr>
              <w:t>Beschreibung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and Support (intern)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40.000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Internal support and application operations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SaaS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150.000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SaaS / cloud services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SC 30 - Maint. for ext. SW Licenses (extern)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20.000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8"/>
              </w:rPr>
              <w:t>External maintenance and vendor support</w:t>
            </w:r>
          </w:p>
        </w:tc>
      </w:tr>
    </w:tbl>
    <w:p>
      <w:pPr>
        <w:pStyle w:val="Heading2"/>
      </w:pPr>
      <w:r>
        <w:rPr>
          <w:color w:val="1F3A5F"/>
        </w:rPr>
        <w:t>7. Erwarteter wirtschaftlicher Nutzen</w:t>
      </w:r>
    </w:p>
    <w:p>
      <w:pPr>
        <w:spacing w:after="40"/>
      </w:pPr>
      <w:r>
        <w:rPr>
          <w:b/>
          <w:i w:val="0"/>
          <w:sz w:val="20"/>
        </w:rPr>
        <w:t>Cost Savings (p.a. ab Vollbetrieb):</w:t>
      </w:r>
    </w:p>
    <w:p>
      <w:pPr>
        <w:pStyle w:val="ListBullet"/>
      </w:pPr>
      <w:r>
        <w:rPr>
          <w:sz w:val="20"/>
        </w:rPr>
        <w:t>190.000 € — Wegfall manueller Rechnungserfassung</w:t>
      </w:r>
    </w:p>
    <w:p>
      <w:pPr>
        <w:pStyle w:val="ListBullet"/>
      </w:pPr>
      <w:r>
        <w:rPr>
          <w:sz w:val="20"/>
        </w:rPr>
        <w:t>50.000 € — Porto, Druck, Archiv</w:t>
      </w:r>
    </w:p>
    <w:p>
      <w:pPr>
        <w:pStyle w:val="ListBullet"/>
      </w:pPr>
      <w:r>
        <w:rPr>
          <w:sz w:val="20"/>
        </w:rPr>
        <w:t>80.000 € — Vermiedene Bußgelder und Steuerrisiken (Erwartungswert)</w:t>
      </w:r>
    </w:p>
    <w:p>
      <w:pPr>
        <w:spacing w:after="80"/>
      </w:pPr>
      <w:r>
        <w:rPr>
          <w:b w:val="0"/>
          <w:i w:val="0"/>
          <w:sz w:val="20"/>
        </w:rPr>
        <w:t>Nicht-quantitative Nutzen: Compliance; Grundlage Touchless Invoicing (CATALYST).</w:t>
      </w:r>
    </w:p>
    <w:p>
      <w:pPr>
        <w:pStyle w:val="Heading2"/>
      </w:pPr>
      <w:r>
        <w:rPr>
          <w:color w:val="1F3A5F"/>
        </w:rPr>
        <w:t>8. Fachlicher und organisatorischer Nutzen</w:t>
      </w:r>
    </w:p>
    <w:p>
      <w:pPr>
        <w:spacing w:after="80"/>
      </w:pPr>
      <w:r>
        <w:rPr>
          <w:b w:val="0"/>
          <w:i w:val="0"/>
          <w:sz w:val="20"/>
        </w:rPr>
        <w:t>Gesetzliche Pflicht mit Bußgeldrisiko; ohne zentrale Plattform Insellösungen je Land.</w:t>
      </w:r>
    </w:p>
    <w:p>
      <w:pPr>
        <w:pStyle w:val="Heading2"/>
      </w:pPr>
      <w:r>
        <w:rPr>
          <w:color w:val="1F3A5F"/>
        </w:rPr>
        <w:t>9. Betroffene Geschäftsprozesse</w:t>
      </w:r>
    </w:p>
    <w:p>
      <w:pPr>
        <w:spacing w:after="80"/>
      </w:pPr>
      <w:r>
        <w:rPr>
          <w:b w:val="0"/>
          <w:i w:val="0"/>
          <w:sz w:val="20"/>
        </w:rPr>
        <w:t>Order-to-Cash (Fakturierung), Procure-to-Pay (Rechnungseingang), Steuer-Reporting.</w:t>
      </w:r>
    </w:p>
    <w:p>
      <w:pPr>
        <w:pStyle w:val="Heading2"/>
      </w:pPr>
      <w:r>
        <w:rPr>
          <w:color w:val="1F3A5F"/>
        </w:rPr>
        <w:t>10. Betroffene Organisationseinheiten</w:t>
      </w:r>
    </w:p>
    <w:p>
      <w:pPr>
        <w:spacing w:after="80"/>
      </w:pPr>
      <w:r>
        <w:rPr>
          <w:b w:val="0"/>
          <w:i w:val="0"/>
          <w:sz w:val="20"/>
        </w:rPr>
        <w:t>Group Finance, Tax, SSC Krakau, Landesgesellschaften, Corporate IT (SAP), Einkauf.</w:t>
      </w:r>
    </w:p>
    <w:p>
      <w:pPr>
        <w:pStyle w:val="Heading2"/>
      </w:pPr>
      <w:r>
        <w:rPr>
          <w:color w:val="1F3A5F"/>
        </w:rPr>
        <w:t>11. Technische Abhängigkeiten</w:t>
      </w:r>
    </w:p>
    <w:p>
      <w:pPr>
        <w:spacing w:after="80"/>
      </w:pPr>
      <w:r>
        <w:rPr>
          <w:b w:val="0"/>
          <w:i w:val="0"/>
          <w:sz w:val="20"/>
        </w:rPr>
        <w:t>ORBIT (S/4) und verbleibende ECC-Instanzen; RELAY (EDI-Kanal); Archiv.</w:t>
      </w:r>
    </w:p>
    <w:p>
      <w:pPr>
        <w:pStyle w:val="Heading2"/>
      </w:pPr>
      <w:r>
        <w:rPr>
          <w:color w:val="1F3A5F"/>
        </w:rPr>
        <w:t>12. Organisatorische Abhängigkeiten</w:t>
      </w:r>
    </w:p>
    <w:p>
      <w:pPr>
        <w:spacing w:after="80"/>
      </w:pPr>
      <w:r>
        <w:rPr>
          <w:b w:val="0"/>
          <w:i w:val="0"/>
          <w:sz w:val="20"/>
        </w:rPr>
        <w:t>Länderfristen sind extern gesetzt; Kunden-/Lieferantenkommunikation über Einkauf und Vertrieb.</w:t>
      </w:r>
    </w:p>
    <w:p>
      <w:pPr>
        <w:pStyle w:val="Heading2"/>
      </w:pPr>
      <w:r>
        <w:rPr>
          <w:color w:val="1F3A5F"/>
        </w:rPr>
        <w:t>13. Risikoanalyse</w:t>
      </w:r>
    </w:p>
    <w:p>
      <w:pPr>
        <w:pStyle w:val="ListBullet"/>
      </w:pPr>
      <w:r>
        <w:rPr>
          <w:sz w:val="20"/>
        </w:rPr>
        <w:t>Gesetzliche Formate ändern sich kurzfristig</w:t>
      </w:r>
    </w:p>
    <w:p>
      <w:pPr>
        <w:pStyle w:val="ListBullet"/>
      </w:pPr>
      <w:r>
        <w:rPr>
          <w:sz w:val="20"/>
        </w:rPr>
        <w:t>Doppelanbindung ECC und S/4 während ORBIT</w:t>
      </w:r>
    </w:p>
    <w:p>
      <w:pPr>
        <w:pStyle w:val="ListBullet"/>
      </w:pPr>
      <w:r>
        <w:rPr>
          <w:sz w:val="20"/>
        </w:rPr>
        <w:t>Ressourcenkonflikt SAP CoE</w:t>
      </w:r>
    </w:p>
    <w:p>
      <w:pPr>
        <w:pStyle w:val="Heading2"/>
      </w:pPr>
      <w:r>
        <w:rPr>
          <w:color w:val="1F3A5F"/>
        </w:rPr>
        <w:t>14. Anbieter-, Produkt- und Projektinformationen</w:t>
      </w:r>
    </w:p>
    <w:p>
      <w:pPr>
        <w:spacing w:after="80"/>
      </w:pPr>
      <w:r>
        <w:rPr>
          <w:b w:val="0"/>
          <w:i w:val="0"/>
          <w:sz w:val="20"/>
        </w:rPr>
        <w:t>SAP Document and Reporting Compliance oder Pagero (Ausschreibung Q1/2026).</w:t>
      </w:r>
    </w:p>
    <w:p>
      <w:pPr>
        <w:pStyle w:val="Heading2"/>
      </w:pPr>
      <w:r>
        <w:rPr>
          <w:color w:val="1F3A5F"/>
        </w:rPr>
        <w:t>15. Freigaben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Dr. Markus Feldhaus (CFO)  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IT Portfolio Board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  <w:tr>
        <w:tc>
          <w:tcPr>
            <w:tcW w:type="dxa" w:w="2551"/>
            <w:shd w:val="clear" w:color="auto" w:fill="E8EEF5"/>
          </w:tcPr>
          <w:p>
            <w:r/>
            <w:r>
              <w:rPr>
                <w:b/>
                <w:sz w:val="18"/>
              </w:rPr>
              <w:t>Controlling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____________________  Datum: 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88888"/>
        <w:sz w:val="14"/>
      </w:rPr>
      <w:t>VELTRAX Group SE – IT Portfolio Management – BC-2026-0646.1 – Fiktives Beispiel für Testzwecke, alle Namen und Zahlen erfunden.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