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003B70"/>
          <w:sz w:val="32"/>
        </w:rPr>
        <w:t>TEST-PRJ-004</w:t>
      </w:r>
    </w:p>
    <w:p>
      <w:pPr>
        <w:spacing w:after="120"/>
      </w:pPr>
      <w:r>
        <w:rPr>
          <w:rFonts w:ascii="Aptos Display" w:hAnsi="Aptos Display"/>
          <w:b/>
          <w:color w:val="003B70"/>
          <w:sz w:val="44"/>
        </w:rPr>
        <w:t>PRODUCT 2 | CONSOLIDATED BILLING SERVICE - PARTNER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329"/>
        <w:gridCol w:w="3175"/>
        <w:gridCol w:w="4422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Operating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003B70"/>
                <w:sz w:val="22"/>
              </w:rPr>
              <w:t>Test Business Unit D - Shared Finance Services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D70000"/>
                <w:sz w:val="24"/>
              </w:rPr>
              <w:t>CUSTOMER</w:t>
              <w:br/>
            </w:r>
            <w:r>
              <w:rPr>
                <w:rFonts w:ascii="Aptos" w:hAnsi="Aptos"/>
                <w:b/>
                <w:color w:val="2B78C5"/>
                <w:sz w:val="24"/>
              </w:rPr>
              <w:t>PROCESS RELIABILITY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TEST - REGION H; REGION I; REGION J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Product 2 is used here only as a fictional test product in a simulated B2B billing environment. Generated delivery records are grouped into periodic test statements and stored in a synthetic archive. All accounts, documents, volumes, exceptions and process events are artificial test data.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Standardise the simulated partner-billing process and reduce manual handling in the test scenario.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26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14% adoption among synthetic test accounts; 20% fewer manual handling steps; 300 consolidated test documents per month; correction rate below 2% in the test scenario.</w:t>
            </w:r>
          </w:p>
        </w:tc>
      </w:tr>
      <w:tr>
        <w:tc>
          <w:tcPr>
            <w:tcW w:type="dxa" w:w="2721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26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2"/>
              </w:rPr>
              <w:t>Rollout to 3 synthetic partner regions; configurable consolidation rules; synthetic archive and audit log; sample reconciliation dashboard and exception workflow.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170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45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430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1F1F"/>
                <w:sz w:val="21"/>
              </w:rPr>
              <w:t>65 T€*</w:t>
            </w:r>
          </w:p>
        </w:tc>
      </w:tr>
    </w:tbl>
    <w:p>
      <w:pPr>
        <w:spacing w:before="100" w:after="0"/>
      </w:pPr>
      <w:r>
        <w:rPr>
          <w:rFonts w:ascii="Aptos" w:hAnsi="Aptos"/>
          <w:i/>
          <w:color w:val="5F5F5F"/>
          <w:sz w:val="17"/>
        </w:rPr>
        <w:t>* SYNTHETIC TEST DATA: All names, IDs, regions, persons, figures and descriptions are fictitious and created solely for testing. No real company, customer, employee, invoice, transaction or project data is included.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