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666666"/>
          <w:sz w:val="18"/>
        </w:rPr>
        <w:t>PRJ-0000.0</w:t>
      </w:r>
    </w:p>
    <w:p>
      <w:pPr>
        <w:spacing w:after="40"/>
      </w:pPr>
      <w:r>
        <w:rPr>
          <w:b/>
          <w:i w:val="0"/>
          <w:color w:val="1F3A5F"/>
          <w:sz w:val="30"/>
        </w:rPr>
        <w:t>[PROJEKTNAME EINTRAGEN]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>VELTRAX Group SE · Project Charter · Antragsdatum: 2026-08-14 · Vertraulichkeit: intern</w:t>
      </w:r>
    </w:p>
    <w:p>
      <w:pPr>
        <w:pStyle w:val="Heading2"/>
      </w:pPr>
      <w:r>
        <w:rPr>
          <w:color w:val="1F3A5F"/>
        </w:rPr>
        <w:t>1. Stammdaten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Partner / Operating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Corporate Services GmbH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Antragstellende Einheit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Corporate IT – Automation CoE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Thomas Riedl (CIO)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Hannah Petersen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Lead – Affected Countries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CORP; DE; AT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Start (FY) / Go-Live (FY)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 / 2026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BC-2026-0000.0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Strategic Objective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CUSTOMER VALUE</w:t>
            </w:r>
          </w:p>
        </w:tc>
      </w:tr>
    </w:tbl>
    <w:p>
      <w:pPr>
        <w:pStyle w:val="Heading2"/>
      </w:pPr>
      <w:r>
        <w:rPr>
          <w:color w:val="1F3A5F"/>
        </w:rPr>
        <w:t>2. Beschreibung</w:t>
      </w:r>
    </w:p>
    <w:p>
      <w:pPr>
        <w:spacing w:after="80"/>
      </w:pPr>
      <w:r>
        <w:rPr>
          <w:b w:val="0"/>
          <w:i w:val="0"/>
          <w:sz w:val="20"/>
        </w:rPr>
        <w:t>FLUX: Einführung einer Low-Code-Plattform für Workflow-Automatisierung (Genehmigungen, Formulare, kleine Fachanwendungen) mit Citizen-Developer-Programm. Ablösung von ca. 120 Excel-/Access-/E-Mail-Workflows in den Zentralfunktionen.</w:t>
      </w:r>
    </w:p>
    <w:p>
      <w:pPr>
        <w:pStyle w:val="Heading2"/>
      </w:pPr>
      <w:r>
        <w:rPr>
          <w:color w:val="1F3A5F"/>
        </w:rPr>
        <w:t>3. Objective (OKR/VCP)</w:t>
      </w:r>
    </w:p>
    <w:p>
      <w:pPr>
        <w:spacing w:after="80"/>
      </w:pPr>
      <w:r>
        <w:rPr>
          <w:b w:val="0"/>
          <w:i w:val="0"/>
          <w:sz w:val="20"/>
        </w:rPr>
        <w:t>OBJ-421 – 100 Workflows in 24 Monaten automatisiert.</w:t>
      </w:r>
    </w:p>
    <w:p>
      <w:pPr>
        <w:pStyle w:val="Heading2"/>
      </w:pPr>
      <w:r>
        <w:rPr>
          <w:color w:val="1F3A5F"/>
        </w:rPr>
        <w:t>4. Metrics</w:t>
      </w:r>
    </w:p>
    <w:p>
      <w:pPr>
        <w:pStyle w:val="ListBullet"/>
      </w:pPr>
      <w:r>
        <w:rPr>
          <w:sz w:val="20"/>
        </w:rPr>
        <w:t>Anzahl produktiver Workflows: 100 bis Ende 2027</w:t>
      </w:r>
    </w:p>
    <w:p>
      <w:pPr>
        <w:pStyle w:val="ListBullet"/>
      </w:pPr>
      <w:r>
        <w:rPr>
          <w:sz w:val="20"/>
        </w:rPr>
        <w:t>Durchlaufzeit Genehmigungen −50 %</w:t>
      </w:r>
    </w:p>
    <w:p>
      <w:pPr>
        <w:pStyle w:val="ListBullet"/>
      </w:pPr>
      <w:r>
        <w:rPr>
          <w:sz w:val="20"/>
        </w:rPr>
        <w:t>50 geschulte Citizen Developer</w:t>
      </w:r>
    </w:p>
    <w:p>
      <w:pPr>
        <w:pStyle w:val="Heading2"/>
      </w:pPr>
      <w:r>
        <w:rPr>
          <w:color w:val="1F3A5F"/>
        </w:rPr>
        <w:t>5. Planned Deliverables</w:t>
      </w:r>
    </w:p>
    <w:p>
      <w:pPr>
        <w:pStyle w:val="ListBullet"/>
      </w:pPr>
      <w:r>
        <w:rPr>
          <w:sz w:val="20"/>
        </w:rPr>
        <w:t>Plattform-Governance (Center of Excellence)</w:t>
      </w:r>
    </w:p>
    <w:p>
      <w:pPr>
        <w:pStyle w:val="ListBullet"/>
      </w:pPr>
      <w:r>
        <w:rPr>
          <w:sz w:val="20"/>
        </w:rPr>
        <w:t>Top-20-Workflows</w:t>
      </w:r>
    </w:p>
    <w:p>
      <w:pPr>
        <w:pStyle w:val="ListBullet"/>
      </w:pPr>
      <w:r>
        <w:rPr>
          <w:sz w:val="20"/>
        </w:rPr>
        <w:t>Citizen-Developer-Programm</w:t>
      </w:r>
    </w:p>
    <w:p>
      <w:pPr>
        <w:pStyle w:val="Heading2"/>
      </w:pPr>
      <w:r>
        <w:rPr>
          <w:color w:val="1F3A5F"/>
        </w:rPr>
        <w:t>6. Finanzübersicht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Total One-Off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Avg. Recurrent p.a.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Already Spent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Iteration Value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265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130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21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93 T€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costs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1.565.000 €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benefits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1.995.000 €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EBIT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430.000 €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Discounted EVA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172.645 €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ROI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0,27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≈ 51,6 Monate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One-off (Startjahr):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80.000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product, process and architecture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development / implementation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90 - Software Licenses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45.000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Software licences / tooling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50.000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rollout, testing and change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rollout, migration and launch support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Recurrent (ab Go-Live, p.a.):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and Support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support and application operations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SaaS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70.000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SaaS / cloud services</w:t>
            </w:r>
          </w:p>
        </w:tc>
      </w:tr>
    </w:tbl>
    <w:p>
      <w:pPr>
        <w:pStyle w:val="Heading2"/>
      </w:pPr>
      <w:r>
        <w:rPr>
          <w:color w:val="1F3A5F"/>
        </w:rPr>
        <w:t>7. Erwarteter wirtschaftlicher Nutzen</w:t>
      </w:r>
    </w:p>
    <w:p>
      <w:pPr>
        <w:spacing w:after="40"/>
      </w:pPr>
      <w:r>
        <w:rPr>
          <w:b/>
          <w:i w:val="0"/>
          <w:sz w:val="20"/>
        </w:rPr>
        <w:t>Cost Savings (p.a. ab Vollbetrieb):</w:t>
      </w:r>
    </w:p>
    <w:p>
      <w:pPr>
        <w:pStyle w:val="ListBullet"/>
      </w:pPr>
      <w:r>
        <w:rPr>
          <w:sz w:val="20"/>
        </w:rPr>
        <w:t>170.000 € — Wegfall manueller Bearbeitung Genehmigungen</w:t>
      </w:r>
    </w:p>
    <w:p>
      <w:pPr>
        <w:pStyle w:val="ListBullet"/>
      </w:pPr>
      <w:r>
        <w:rPr>
          <w:sz w:val="20"/>
        </w:rPr>
        <w:t>40.000 € — Ablösung Wartung Access-Anwendungen</w:t>
      </w:r>
    </w:p>
    <w:p>
      <w:pPr>
        <w:spacing w:after="80"/>
      </w:pPr>
      <w:r>
        <w:rPr>
          <w:b w:val="0"/>
          <w:i w:val="0"/>
          <w:sz w:val="20"/>
        </w:rPr>
        <w:t>Nicht-quantitative Nutzen: Geschwindigkeit; Entlastung IT-Backlog.</w:t>
      </w:r>
    </w:p>
    <w:p>
      <w:pPr>
        <w:pStyle w:val="Heading2"/>
      </w:pPr>
      <w:r>
        <w:rPr>
          <w:color w:val="1F3A5F"/>
        </w:rPr>
        <w:t>8. Fachlicher und organisatorischer Nutzen</w:t>
      </w:r>
    </w:p>
    <w:p>
      <w:pPr>
        <w:spacing w:after="80"/>
      </w:pPr>
      <w:r>
        <w:rPr>
          <w:b w:val="0"/>
          <w:i w:val="0"/>
          <w:sz w:val="20"/>
        </w:rPr>
        <w:t>Die IT hat ein Backlog von 180 kleinen Anforderungen, die mit klassischer Entwicklung nie umgesetzt würden.</w:t>
      </w:r>
    </w:p>
    <w:p>
      <w:pPr>
        <w:pStyle w:val="Heading2"/>
      </w:pPr>
      <w:r>
        <w:rPr>
          <w:color w:val="1F3A5F"/>
        </w:rPr>
        <w:t>9. Betroffene Geschäftsprozesse</w:t>
      </w:r>
    </w:p>
    <w:p>
      <w:pPr>
        <w:spacing w:after="80"/>
      </w:pPr>
      <w:r>
        <w:rPr>
          <w:b w:val="0"/>
          <w:i w:val="0"/>
          <w:sz w:val="20"/>
        </w:rPr>
        <w:t>Genehmigungsprozesse (Investitionen, Reisen, Beschaffung), Onboarding, Formularwesen.</w:t>
      </w:r>
    </w:p>
    <w:p>
      <w:pPr>
        <w:pStyle w:val="Heading2"/>
      </w:pPr>
      <w:r>
        <w:rPr>
          <w:color w:val="1F3A5F"/>
        </w:rPr>
        <w:t>10. Betroffene Organisationseinheiten</w:t>
      </w:r>
    </w:p>
    <w:p>
      <w:pPr>
        <w:spacing w:after="80"/>
      </w:pPr>
      <w:r>
        <w:rPr>
          <w:b w:val="0"/>
          <w:i w:val="0"/>
          <w:sz w:val="20"/>
        </w:rPr>
        <w:t>Automation CoE, alle Zentralfunktionen, IT Security (Governance).</w:t>
      </w:r>
    </w:p>
    <w:p>
      <w:pPr>
        <w:pStyle w:val="Heading2"/>
      </w:pPr>
      <w:r>
        <w:rPr>
          <w:color w:val="1F3A5F"/>
        </w:rPr>
        <w:t>11. Technische Abhängigkeiten</w:t>
      </w:r>
    </w:p>
    <w:p>
      <w:pPr>
        <w:spacing w:after="80"/>
      </w:pPr>
      <w:r>
        <w:rPr>
          <w:b w:val="0"/>
          <w:i w:val="0"/>
          <w:sz w:val="20"/>
        </w:rPr>
        <w:t>M365-Tenant (Power Platform), Datenzugriffe via NEXUS.</w:t>
      </w:r>
    </w:p>
    <w:p>
      <w:pPr>
        <w:pStyle w:val="Heading2"/>
      </w:pPr>
      <w:r>
        <w:rPr>
          <w:color w:val="1F3A5F"/>
        </w:rPr>
        <w:t>12. Organisatorische Abhängigkeiten</w:t>
      </w:r>
    </w:p>
    <w:p>
      <w:pPr>
        <w:spacing w:after="80"/>
      </w:pPr>
      <w:r>
        <w:rPr>
          <w:b w:val="0"/>
          <w:i w:val="0"/>
          <w:sz w:val="20"/>
        </w:rPr>
        <w:t>Fachbereiche stellen Citizen Developer mit 20 % Kapazität.</w:t>
      </w:r>
    </w:p>
    <w:p>
      <w:pPr>
        <w:pStyle w:val="Heading2"/>
      </w:pPr>
      <w:r>
        <w:rPr>
          <w:color w:val="1F3A5F"/>
        </w:rPr>
        <w:t>13. Risikoanalyse</w:t>
      </w:r>
    </w:p>
    <w:p>
      <w:pPr>
        <w:pStyle w:val="ListBullet"/>
      </w:pPr>
      <w:r>
        <w:rPr>
          <w:sz w:val="20"/>
        </w:rPr>
        <w:t>Wildwuchs ohne Governance</w:t>
      </w:r>
    </w:p>
    <w:p>
      <w:pPr>
        <w:pStyle w:val="ListBullet"/>
      </w:pPr>
      <w:r>
        <w:rPr>
          <w:sz w:val="20"/>
        </w:rPr>
        <w:t>Schatten-IT-Lösungen werden nicht abgelöst, sondern ergänzt</w:t>
      </w:r>
    </w:p>
    <w:p>
      <w:pPr>
        <w:pStyle w:val="Heading2"/>
      </w:pPr>
      <w:r>
        <w:rPr>
          <w:color w:val="1F3A5F"/>
        </w:rPr>
        <w:t>14. Anbieter-, Produkt- und Projektinformationen</w:t>
      </w:r>
    </w:p>
    <w:p>
      <w:pPr>
        <w:spacing w:after="80"/>
      </w:pPr>
      <w:r>
        <w:rPr>
          <w:b w:val="0"/>
          <w:i w:val="0"/>
          <w:sz w:val="20"/>
        </w:rPr>
        <w:t>Microsoft Power Platform (Lizenzen teilweise in E3 enthalten, Premium-Connectors zusätzlich).</w:t>
      </w:r>
    </w:p>
    <w:p>
      <w:pPr>
        <w:pStyle w:val="Heading2"/>
      </w:pPr>
      <w:r>
        <w:rPr>
          <w:color w:val="1F3A5F"/>
        </w:rPr>
        <w:t>15. Freigaben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Thomas Riedl (CIO)  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IT Portfolio Board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Controlling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4"/>
      </w:rPr>
      <w:t>VELTRAX Group SE – IT Portfolio Management – BC-2026-0000.0 – Fiktives Beispiel für Testzwecke, alle Namen und Zahlen erfunden.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