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666666"/>
          <w:sz w:val="18"/>
        </w:rPr>
        <w:t>PRJ-0501.1</w:t>
      </w:r>
    </w:p>
    <w:p>
      <w:pPr>
        <w:spacing w:after="40"/>
      </w:pPr>
      <w:r>
        <w:rPr>
          <w:b/>
          <w:i w:val="0"/>
          <w:color w:val="1F3A5F"/>
          <w:sz w:val="30"/>
        </w:rPr>
        <w:t>ORBIT – ERP-HARMONISIERUNG FINANCE (S/4-MIGRATION WELLE 2)</w:t>
      </w:r>
    </w:p>
    <w:p>
      <w:pPr>
        <w:spacing w:after="160"/>
      </w:pPr>
      <w:r>
        <w:rPr>
          <w:b w:val="0"/>
          <w:i w:val="0"/>
          <w:color w:val="666666"/>
          <w:sz w:val="16"/>
        </w:rPr>
        <w:t>VELTRAX Group SE · Project Charter · Antragsdatum: 2026-08-14 · Vertraulichkeit: intern</w:t>
      </w:r>
    </w:p>
    <w:p>
      <w:pPr>
        <w:pStyle w:val="Heading2"/>
      </w:pPr>
      <w:r>
        <w:rPr>
          <w:color w:val="1F3A5F"/>
        </w:rPr>
        <w:t>1. Stammdaten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Partner / Operating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Corporate Services GmbH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Antragstellende Einheit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Group Finance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Dr. Markus Feldhaus (CFO)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Katrin Voss (Head of Finance Applications)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Lead – Affected Countries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CORP; DE; AT; CH; PL; CZ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Start (FY) / Go-Live (FY)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 / 2027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BC-2026-0501.1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Strategic Objective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OPERATIONAL EXCELLENCE</w:t>
            </w:r>
          </w:p>
        </w:tc>
      </w:tr>
    </w:tbl>
    <w:p>
      <w:pPr>
        <w:pStyle w:val="Heading2"/>
      </w:pPr>
      <w:r>
        <w:rPr>
          <w:color w:val="1F3A5F"/>
        </w:rPr>
        <w:t>2. Beschreibung</w:t>
      </w:r>
    </w:p>
    <w:p>
      <w:pPr>
        <w:spacing w:after="80"/>
      </w:pPr>
      <w:r>
        <w:rPr>
          <w:b w:val="0"/>
          <w:i w:val="0"/>
          <w:sz w:val="20"/>
        </w:rPr>
        <w:t>Ablösung der drei verbliebenen ECC-Instanzen in DACH und CEE durch die zentrale S/4HANA-Instanz (Template Welle 1). Vereinheitlichung von Kontenrahmen, Kostenstellenlogik und Intercompany-Prozessen. Damit entfällt der manuelle Konsolidierungslauf im Group Reporting.</w:t>
      </w:r>
    </w:p>
    <w:p>
      <w:pPr>
        <w:pStyle w:val="Heading2"/>
      </w:pPr>
      <w:r>
        <w:rPr>
          <w:color w:val="1F3A5F"/>
        </w:rPr>
        <w:t>3. Objective (OKR/VCP)</w:t>
      </w:r>
    </w:p>
    <w:p>
      <w:pPr>
        <w:spacing w:after="80"/>
      </w:pPr>
      <w:r>
        <w:rPr>
          <w:b w:val="0"/>
          <w:i w:val="0"/>
          <w:sz w:val="20"/>
        </w:rPr>
        <w:t>OBJ-112 – One Finance Backbone: ein Kontenrahmen, ein Reporting, ein Close.</w:t>
      </w:r>
    </w:p>
    <w:p>
      <w:pPr>
        <w:pStyle w:val="Heading2"/>
      </w:pPr>
      <w:r>
        <w:rPr>
          <w:color w:val="1F3A5F"/>
        </w:rPr>
        <w:t>4. Metrics</w:t>
      </w:r>
    </w:p>
    <w:p>
      <w:pPr>
        <w:pStyle w:val="ListBullet"/>
      </w:pPr>
      <w:r>
        <w:rPr>
          <w:sz w:val="20"/>
        </w:rPr>
        <w:t>Verkürzung des Monatsabschlusses von 9 auf 5 Arbeitstage</w:t>
      </w:r>
    </w:p>
    <w:p>
      <w:pPr>
        <w:pStyle w:val="ListBullet"/>
      </w:pPr>
      <w:r>
        <w:rPr>
          <w:sz w:val="20"/>
        </w:rPr>
        <w:t>Reduktion manueller IC-Abstimmungen um 70 %</w:t>
      </w:r>
    </w:p>
    <w:p>
      <w:pPr>
        <w:pStyle w:val="ListBullet"/>
      </w:pPr>
      <w:r>
        <w:rPr>
          <w:sz w:val="20"/>
        </w:rPr>
        <w:t>Abschaltung von 3 ECC-Instanzen bis Q4/2027</w:t>
      </w:r>
    </w:p>
    <w:p>
      <w:pPr>
        <w:pStyle w:val="Heading2"/>
      </w:pPr>
      <w:r>
        <w:rPr>
          <w:color w:val="1F3A5F"/>
        </w:rPr>
        <w:t>5. Planned Deliverables</w:t>
      </w:r>
    </w:p>
    <w:p>
      <w:pPr>
        <w:pStyle w:val="ListBullet"/>
      </w:pPr>
      <w:r>
        <w:rPr>
          <w:sz w:val="20"/>
        </w:rPr>
        <w:t>Fit-Gap-Analyse DACH/CEE gegen Template Welle 1</w:t>
      </w:r>
    </w:p>
    <w:p>
      <w:pPr>
        <w:pStyle w:val="ListBullet"/>
      </w:pPr>
      <w:r>
        <w:rPr>
          <w:sz w:val="20"/>
        </w:rPr>
        <w:t>Datenmigration und Cutover für 6 Buchungskreise</w:t>
      </w:r>
    </w:p>
    <w:p>
      <w:pPr>
        <w:pStyle w:val="ListBullet"/>
      </w:pPr>
      <w:r>
        <w:rPr>
          <w:sz w:val="20"/>
        </w:rPr>
        <w:t>Abschaltung ECC AT/CH/PL</w:t>
      </w:r>
    </w:p>
    <w:p>
      <w:pPr>
        <w:pStyle w:val="Heading2"/>
      </w:pPr>
      <w:r>
        <w:rPr>
          <w:color w:val="1F3A5F"/>
        </w:rPr>
        <w:t>6. Finanzübersicht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Total One-Off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Avg. Recurrent p.a.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Already Spent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Iteration Value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1400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225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112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490 T€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costs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3.425.000 €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benefits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5.270.000 €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EBIT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1.845.000 €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Discounted EVA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652.473 €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ROI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0,54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Payback Period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≈ 55,1 Monate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One-off (Startjahr):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380.000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product, process and architecture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620.000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development / implementation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90 - Software Licenses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90.000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Software licences / tooling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Local IT/IM Investments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Local rollout infrastructure, hardware and devices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110.000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rollout, testing and change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140.000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rollout, migration and launch support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Recurrent (ab Go-Live, p.a.):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and Support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support and application operations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SaaS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120.000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SaaS / cloud services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for ext. SW Licenses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45.000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maintenance and vendor support</w:t>
            </w:r>
          </w:p>
        </w:tc>
      </w:tr>
    </w:tbl>
    <w:p>
      <w:pPr>
        <w:pStyle w:val="Heading2"/>
      </w:pPr>
      <w:r>
        <w:rPr>
          <w:color w:val="1F3A5F"/>
        </w:rPr>
        <w:t>7. Erwarteter wirtschaftlicher Nutzen</w:t>
      </w:r>
    </w:p>
    <w:p>
      <w:pPr>
        <w:spacing w:after="40"/>
      </w:pPr>
      <w:r>
        <w:rPr>
          <w:b/>
          <w:i w:val="0"/>
          <w:sz w:val="20"/>
        </w:rPr>
        <w:t>Cost Savings (p.a. ab Vollbetrieb):</w:t>
      </w:r>
    </w:p>
    <w:p>
      <w:pPr>
        <w:pStyle w:val="ListBullet"/>
      </w:pPr>
      <w:r>
        <w:rPr>
          <w:sz w:val="20"/>
        </w:rPr>
        <w:t>320.000 € — Wegfall manueller Konsolidierung und IC-Abstimmung</w:t>
      </w:r>
    </w:p>
    <w:p>
      <w:pPr>
        <w:pStyle w:val="ListBullet"/>
      </w:pPr>
      <w:r>
        <w:rPr>
          <w:sz w:val="20"/>
        </w:rPr>
        <w:t>210.000 € — Abschaltung ECC-Instanzen (Hosting, Wartung, Lizenz)</w:t>
      </w:r>
    </w:p>
    <w:p>
      <w:pPr>
        <w:pStyle w:val="ListBullet"/>
      </w:pPr>
      <w:r>
        <w:rPr>
          <w:sz w:val="20"/>
        </w:rPr>
        <w:t>90.000 € — Reduzierter Abschlussaufwand SSC</w:t>
      </w:r>
    </w:p>
    <w:p>
      <w:pPr>
        <w:spacing w:after="80"/>
      </w:pPr>
      <w:r>
        <w:rPr>
          <w:b w:val="0"/>
          <w:i w:val="0"/>
          <w:sz w:val="20"/>
        </w:rPr>
        <w:t>Nicht-quantitative Nutzen: Einheitliche Datenbasis für Group Reporting; Audit-Fähigkeit; Grundlage für weitere Finance-Automatisierung.</w:t>
      </w:r>
    </w:p>
    <w:p>
      <w:pPr>
        <w:pStyle w:val="Heading2"/>
      </w:pPr>
      <w:r>
        <w:rPr>
          <w:color w:val="1F3A5F"/>
        </w:rPr>
        <w:t>8. Fachlicher und organisatorischer Nutzen</w:t>
      </w:r>
    </w:p>
    <w:p>
      <w:pPr>
        <w:spacing w:after="80"/>
      </w:pPr>
      <w:r>
        <w:rPr>
          <w:b w:val="0"/>
          <w:i w:val="0"/>
          <w:sz w:val="20"/>
        </w:rPr>
        <w:t>Ohne Harmonisierung bleibt der Konzernabschluss auf drei Systemen mit manuellen Brücken. Wartungsende ECC 2027 erzwingt ohnehin eine Entscheidung.</w:t>
      </w:r>
    </w:p>
    <w:p>
      <w:pPr>
        <w:pStyle w:val="Heading2"/>
      </w:pPr>
      <w:r>
        <w:rPr>
          <w:color w:val="1F3A5F"/>
        </w:rPr>
        <w:t>9. Betroffene Geschäftsprozesse</w:t>
      </w:r>
    </w:p>
    <w:p>
      <w:pPr>
        <w:spacing w:after="80"/>
      </w:pPr>
      <w:r>
        <w:rPr>
          <w:b w:val="0"/>
          <w:i w:val="0"/>
          <w:sz w:val="20"/>
        </w:rPr>
        <w:t>Record-to-Report, Procure-to-Pay (Buchungsschnittstelle), Intercompany-Abstimmung, Group Consolidation.</w:t>
      </w:r>
    </w:p>
    <w:p>
      <w:pPr>
        <w:pStyle w:val="Heading2"/>
      </w:pPr>
      <w:r>
        <w:rPr>
          <w:color w:val="1F3A5F"/>
        </w:rPr>
        <w:t>10. Betroffene Organisationseinheiten</w:t>
      </w:r>
    </w:p>
    <w:p>
      <w:pPr>
        <w:spacing w:after="80"/>
      </w:pPr>
      <w:r>
        <w:rPr>
          <w:b w:val="0"/>
          <w:i w:val="0"/>
          <w:sz w:val="20"/>
        </w:rPr>
        <w:t>Group Finance, Accounting Shared Service Center Krakau, Corporate IT (SAP CoE), Landesgesellschaften AT/CH/PL/CZ.</w:t>
      </w:r>
    </w:p>
    <w:p>
      <w:pPr>
        <w:pStyle w:val="Heading2"/>
      </w:pPr>
      <w:r>
        <w:rPr>
          <w:color w:val="1F3A5F"/>
        </w:rPr>
        <w:t>11. Technische Abhängigkeiten</w:t>
      </w:r>
    </w:p>
    <w:p>
      <w:pPr>
        <w:spacing w:after="80"/>
      </w:pPr>
      <w:r>
        <w:rPr>
          <w:b w:val="0"/>
          <w:i w:val="0"/>
          <w:sz w:val="20"/>
        </w:rPr>
        <w:t>Abhängig von Template-Freeze Welle 1 (Projekt ORBIT-1), Stammdaten-Bereitstellung aus MOSAIC, Archivierung Altdaten (OpenText).</w:t>
      </w:r>
    </w:p>
    <w:p>
      <w:pPr>
        <w:pStyle w:val="Heading2"/>
      </w:pPr>
      <w:r>
        <w:rPr>
          <w:color w:val="1F3A5F"/>
        </w:rPr>
        <w:t>12. Organisatorische Abhängigkeiten</w:t>
      </w:r>
    </w:p>
    <w:p>
      <w:pPr>
        <w:spacing w:after="80"/>
      </w:pPr>
      <w:r>
        <w:rPr>
          <w:b w:val="0"/>
          <w:i w:val="0"/>
          <w:sz w:val="20"/>
        </w:rPr>
        <w:t>Verfügbarkeit Key-User in den Landesgesellschaften während Jahresabschluss; Betriebsrat DE (Leistungs- und Verhaltenskontrolle).</w:t>
      </w:r>
    </w:p>
    <w:p>
      <w:pPr>
        <w:pStyle w:val="Heading2"/>
      </w:pPr>
      <w:r>
        <w:rPr>
          <w:color w:val="1F3A5F"/>
        </w:rPr>
        <w:t>13. Risikoanalyse</w:t>
      </w:r>
    </w:p>
    <w:p>
      <w:pPr>
        <w:pStyle w:val="ListBullet"/>
      </w:pPr>
      <w:r>
        <w:rPr>
          <w:sz w:val="20"/>
        </w:rPr>
        <w:t>Cutover kollidiert mit Jahresabschluss 2026 – Mitigation: Go-Live nach Q1-Close</w:t>
      </w:r>
    </w:p>
    <w:p>
      <w:pPr>
        <w:pStyle w:val="ListBullet"/>
      </w:pPr>
      <w:r>
        <w:rPr>
          <w:sz w:val="20"/>
        </w:rPr>
        <w:t>Ressourcen-Engpass SAP CoE (parallel Projekt CINDER) – externe Verstärkung eingeplant</w:t>
      </w:r>
    </w:p>
    <w:p>
      <w:pPr>
        <w:pStyle w:val="ListBullet"/>
      </w:pPr>
      <w:r>
        <w:rPr>
          <w:sz w:val="20"/>
        </w:rPr>
        <w:t>Datenqualität Altsysteme PL/CZ unbekannt – Vorab-Profiling</w:t>
      </w:r>
    </w:p>
    <w:p>
      <w:pPr>
        <w:pStyle w:val="Heading2"/>
      </w:pPr>
      <w:r>
        <w:rPr>
          <w:color w:val="1F3A5F"/>
        </w:rPr>
        <w:t>14. Anbieter-, Produkt- und Projektinformationen</w:t>
      </w:r>
    </w:p>
    <w:p>
      <w:pPr>
        <w:spacing w:after="80"/>
      </w:pPr>
      <w:r>
        <w:rPr>
          <w:b w:val="0"/>
          <w:i w:val="0"/>
          <w:sz w:val="20"/>
        </w:rPr>
        <w:t>SAP S/4HANA (Private Cloud Edition), Implementierungspartner: Rahmenvertrag mit bestehendem SI-Partner (Los 2). OpenText für Archivierung.</w:t>
      </w:r>
    </w:p>
    <w:p>
      <w:pPr>
        <w:pStyle w:val="Heading2"/>
      </w:pPr>
      <w:r>
        <w:rPr>
          <w:color w:val="1F3A5F"/>
        </w:rPr>
        <w:t>15. Freigaben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Dr. Markus Feldhaus (CFO)  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IT Portfolio Board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Controlling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4"/>
      </w:rPr>
      <w:t>VELTRAX Group SE – IT Portfolio Management – BC-2026-0501.1 – Fiktives Beispiel für Testzwecke, alle Namen und Zahlen erfunden.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