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 w:val="0"/>
          <w:i w:val="0"/>
          <w:color w:val="666666"/>
          <w:sz w:val="18"/>
        </w:rPr>
        <w:t>PRJ-0512.2</w:t>
      </w:r>
    </w:p>
    <w:p>
      <w:pPr>
        <w:spacing w:after="40"/>
      </w:pPr>
      <w:r>
        <w:rPr>
          <w:b/>
          <w:i w:val="0"/>
          <w:color w:val="1F3A5F"/>
          <w:sz w:val="30"/>
        </w:rPr>
        <w:t>BEACON – SECURITY OPERATIONS CENTER (SOC) AS A SERVICE</w:t>
      </w:r>
    </w:p>
    <w:p>
      <w:pPr>
        <w:spacing w:after="160"/>
      </w:pPr>
      <w:r>
        <w:rPr>
          <w:b w:val="0"/>
          <w:i w:val="0"/>
          <w:color w:val="666666"/>
          <w:sz w:val="16"/>
        </w:rPr>
        <w:t>VELTRAX Group SE · Project Charter · Antragsdatum: 2026-08-25 · Vertraulichkeit: intern</w:t>
      </w:r>
    </w:p>
    <w:p>
      <w:pPr>
        <w:pStyle w:val="Heading2"/>
      </w:pPr>
      <w:r>
        <w:rPr>
          <w:color w:val="1F3A5F"/>
        </w:rPr>
        <w:t>1. Stammdaten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Partner / Operating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VELTRAX Corporate Services GmbH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Antragstellende Einheit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Group IT Security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Project Sponsor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Jan-Philipp Weber (CISO)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Lena Hartwig (Security Architecture)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Lead – Affected Countries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CORP; alle Landesgesellschaften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Start (FY) / Go-Live (FY)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2027 / 2026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Project Number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BC-2026-0512.2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Strategic Objective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CUSTOMER VALUE</w:t>
            </w:r>
          </w:p>
        </w:tc>
      </w:tr>
    </w:tbl>
    <w:p>
      <w:pPr>
        <w:pStyle w:val="Heading2"/>
      </w:pPr>
      <w:r>
        <w:rPr>
          <w:color w:val="1F3A5F"/>
        </w:rPr>
        <w:t>2. Beschreibung</w:t>
      </w:r>
    </w:p>
    <w:p>
      <w:pPr>
        <w:spacing w:after="80"/>
      </w:pPr>
      <w:r>
        <w:rPr>
          <w:b w:val="0"/>
          <w:i w:val="0"/>
          <w:sz w:val="20"/>
        </w:rPr>
        <w:t>Beauftragung eines 24/7-Managed-SOC (Monitoring, Detection, Incident Response) als Ergänzung zum internen Security-Team. Anbindung aller zentralen Log-Quellen an das SIEM des Anbieters. Der interne Bereitschaftsdienst außerhalb der Geschäftszeiten entfällt.</w:t>
      </w:r>
    </w:p>
    <w:p>
      <w:pPr>
        <w:pStyle w:val="Heading2"/>
      </w:pPr>
      <w:r>
        <w:rPr>
          <w:color w:val="1F3A5F"/>
        </w:rPr>
        <w:t>3. Objective (OKR/VCP)</w:t>
      </w:r>
    </w:p>
    <w:p>
      <w:pPr>
        <w:spacing w:after="80"/>
      </w:pPr>
      <w:r>
        <w:rPr>
          <w:b w:val="0"/>
          <w:i w:val="0"/>
          <w:sz w:val="20"/>
        </w:rPr>
        <w:t>OBJ-310 – Detection &amp; Response Reifegrad 3 (nach NIST CSF) bis Ende 2027.</w:t>
      </w:r>
    </w:p>
    <w:p>
      <w:pPr>
        <w:pStyle w:val="Heading2"/>
      </w:pPr>
      <w:r>
        <w:rPr>
          <w:color w:val="1F3A5F"/>
        </w:rPr>
        <w:t>4. Metrics</w:t>
      </w:r>
    </w:p>
    <w:p>
      <w:pPr>
        <w:pStyle w:val="ListBullet"/>
      </w:pPr>
      <w:r>
        <w:rPr>
          <w:sz w:val="20"/>
        </w:rPr>
        <w:t>Mean Time to Detect &lt; 30 Minuten</w:t>
      </w:r>
    </w:p>
    <w:p>
      <w:pPr>
        <w:pStyle w:val="ListBullet"/>
      </w:pPr>
      <w:r>
        <w:rPr>
          <w:sz w:val="20"/>
        </w:rPr>
        <w:t>Mean Time to Respond &lt; 4 Stunden</w:t>
      </w:r>
    </w:p>
    <w:p>
      <w:pPr>
        <w:pStyle w:val="ListBullet"/>
      </w:pPr>
      <w:r>
        <w:rPr>
          <w:sz w:val="20"/>
        </w:rPr>
        <w:t>Abdeckung Log-Quellen 95 % der kritischen Systeme</w:t>
      </w:r>
    </w:p>
    <w:p>
      <w:pPr>
        <w:pStyle w:val="Heading2"/>
      </w:pPr>
      <w:r>
        <w:rPr>
          <w:color w:val="1F3A5F"/>
        </w:rPr>
        <w:t>5. Planned Deliverables</w:t>
      </w:r>
    </w:p>
    <w:p>
      <w:pPr>
        <w:pStyle w:val="ListBullet"/>
      </w:pPr>
      <w:r>
        <w:rPr>
          <w:sz w:val="20"/>
        </w:rPr>
        <w:t>Ausschreibung und Vergabe SOC-Dienstleister</w:t>
      </w:r>
    </w:p>
    <w:p>
      <w:pPr>
        <w:pStyle w:val="ListBullet"/>
      </w:pPr>
      <w:r>
        <w:rPr>
          <w:sz w:val="20"/>
        </w:rPr>
        <w:t>Anbindung Log-Quellen (AD, Firewalls, EDR, Cloud)</w:t>
      </w:r>
    </w:p>
    <w:p>
      <w:pPr>
        <w:pStyle w:val="ListBullet"/>
      </w:pPr>
      <w:r>
        <w:rPr>
          <w:sz w:val="20"/>
        </w:rPr>
        <w:t>Runbooks und Eskalationsprozess</w:t>
      </w:r>
    </w:p>
    <w:p>
      <w:pPr>
        <w:pStyle w:val="Heading2"/>
      </w:pPr>
      <w:r>
        <w:rPr>
          <w:color w:val="1F3A5F"/>
        </w:rPr>
        <w:t>6. Finanzübersicht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r/>
            <w:r>
              <w:rPr>
                <w:b/>
                <w:sz w:val="18"/>
              </w:rPr>
              <w:t>Total One-Off</w:t>
            </w:r>
          </w:p>
        </w:tc>
        <w:tc>
          <w:tcPr>
            <w:tcW w:type="dxa" w:w="2493"/>
            <w:shd w:val="clear" w:color="auto" w:fill="E8EEF5"/>
          </w:tcPr>
          <w:p>
            <w:r/>
            <w:r>
              <w:rPr>
                <w:b/>
                <w:sz w:val="18"/>
              </w:rPr>
              <w:t>Avg. Recurrent p.a.</w:t>
            </w:r>
          </w:p>
        </w:tc>
        <w:tc>
          <w:tcPr>
            <w:tcW w:type="dxa" w:w="2493"/>
            <w:shd w:val="clear" w:color="auto" w:fill="E8EEF5"/>
          </w:tcPr>
          <w:p>
            <w:r/>
            <w:r>
              <w:rPr>
                <w:b/>
                <w:sz w:val="18"/>
              </w:rPr>
              <w:t>Already Spent</w:t>
            </w:r>
          </w:p>
        </w:tc>
        <w:tc>
          <w:tcPr>
            <w:tcW w:type="dxa" w:w="2493"/>
            <w:shd w:val="clear" w:color="auto" w:fill="E8EEF5"/>
          </w:tcPr>
          <w:p>
            <w:r/>
            <w:r>
              <w:rPr>
                <w:b/>
                <w:sz w:val="18"/>
              </w:rPr>
              <w:t>Iteration Value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310 T€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420 T€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25 T€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108 T€</w:t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Total costs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4.090.000 €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Total benefits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3.570.000 €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EBIT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-520.000 €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Discounted EVA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-345.117 €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ROI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-0,13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Payback Period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≈ 0,0 Monate</w:t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</w:r>
    </w:p>
    <w:p>
      <w:pPr>
        <w:spacing w:after="40"/>
      </w:pPr>
      <w:r>
        <w:rPr>
          <w:b/>
          <w:i w:val="0"/>
          <w:sz w:val="20"/>
        </w:rPr>
        <w:t>One-off (Startjahr):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Betrag (€)</w:t>
            </w:r>
          </w:p>
        </w:tc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Beschreibung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70 - Project Capitalizable (intern)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60.000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Internal product, process and architecture effort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70 - Project Capitalizable (extern)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90.000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External development / implementation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Local IT/IM Investments (extern)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40.000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Local rollout infrastructure, hardware and devices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10 - Project Non Capitalizable (intern)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50.000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Internal rollout, testing and change effort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10 - Project Non Capitalizable (extern)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70.000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External rollout, migration and launch support</w:t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</w:r>
    </w:p>
    <w:p>
      <w:pPr>
        <w:spacing w:after="40"/>
      </w:pPr>
      <w:r>
        <w:rPr>
          <w:b/>
          <w:i w:val="0"/>
          <w:sz w:val="20"/>
        </w:rPr>
        <w:t>Recurrent (ab Go-Live, p.a.):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Betrag (€)</w:t>
            </w:r>
          </w:p>
        </w:tc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Beschreibung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30 - Maint. and Support (intern)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40.000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Internal support and application operations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30 - SaaS (extern)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380.000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SaaS / cloud services</w:t>
            </w:r>
          </w:p>
        </w:tc>
      </w:tr>
    </w:tbl>
    <w:p>
      <w:pPr>
        <w:pStyle w:val="Heading2"/>
      </w:pPr>
      <w:r>
        <w:rPr>
          <w:color w:val="1F3A5F"/>
        </w:rPr>
        <w:t>7. Erwarteter wirtschaftlicher Nutzen</w:t>
      </w:r>
    </w:p>
    <w:p>
      <w:pPr>
        <w:spacing w:after="40"/>
      </w:pPr>
      <w:r>
        <w:rPr>
          <w:b/>
          <w:i w:val="0"/>
          <w:sz w:val="20"/>
        </w:rPr>
        <w:t>Cost Savings (p.a. ab Vollbetrieb):</w:t>
      </w:r>
    </w:p>
    <w:p>
      <w:pPr>
        <w:pStyle w:val="ListBullet"/>
      </w:pPr>
      <w:r>
        <w:rPr>
          <w:sz w:val="20"/>
        </w:rPr>
        <w:t>110.000 € — Wegfall interner Rufbereitschaft Security</w:t>
      </w:r>
    </w:p>
    <w:p>
      <w:pPr>
        <w:pStyle w:val="ListBullet"/>
      </w:pPr>
      <w:r>
        <w:rPr>
          <w:sz w:val="20"/>
        </w:rPr>
        <w:t>250.000 € — Vermiedene Schadenskosten (Erwartungswert)</w:t>
      </w:r>
    </w:p>
    <w:p>
      <w:pPr>
        <w:pStyle w:val="ListBullet"/>
      </w:pPr>
      <w:r>
        <w:rPr>
          <w:sz w:val="20"/>
        </w:rPr>
        <w:t>60.000 € — Prämienreduktion Cyberversicherung</w:t>
      </w:r>
    </w:p>
    <w:p>
      <w:pPr>
        <w:spacing w:after="80"/>
      </w:pPr>
      <w:r>
        <w:rPr>
          <w:b w:val="0"/>
          <w:i w:val="0"/>
          <w:sz w:val="20"/>
        </w:rPr>
        <w:t>Nicht-quantitative Nutzen: Versicherbarkeit; NIS-2-Nachweis; Entlastung des internen Teams.</w:t>
      </w:r>
    </w:p>
    <w:p>
      <w:pPr>
        <w:pStyle w:val="Heading2"/>
      </w:pPr>
      <w:r>
        <w:rPr>
          <w:color w:val="1F3A5F"/>
        </w:rPr>
        <w:t>8. Fachlicher und organisatorischer Nutzen</w:t>
      </w:r>
    </w:p>
    <w:p>
      <w:pPr>
        <w:spacing w:after="80"/>
      </w:pPr>
      <w:r>
        <w:rPr>
          <w:b w:val="0"/>
          <w:i w:val="0"/>
          <w:sz w:val="20"/>
        </w:rPr>
        <w:t>Die Cyberversicherung fordert ab 2027 ein 24/7-Monitoring. Aufbau eines eigenen SOC ist bei unserer Größe nicht wirtschaftlich.</w:t>
      </w:r>
    </w:p>
    <w:p>
      <w:pPr>
        <w:pStyle w:val="Heading2"/>
      </w:pPr>
      <w:r>
        <w:rPr>
          <w:color w:val="1F3A5F"/>
        </w:rPr>
        <w:t>9. Betroffene Geschäftsprozesse</w:t>
      </w:r>
    </w:p>
    <w:p>
      <w:pPr>
        <w:spacing w:after="80"/>
      </w:pPr>
      <w:r>
        <w:rPr>
          <w:b w:val="0"/>
          <w:i w:val="0"/>
          <w:sz w:val="20"/>
        </w:rPr>
        <w:t>Incident Management, Vulnerability Management, Business Continuity.</w:t>
      </w:r>
    </w:p>
    <w:p>
      <w:pPr>
        <w:pStyle w:val="Heading2"/>
      </w:pPr>
      <w:r>
        <w:rPr>
          <w:color w:val="1F3A5F"/>
        </w:rPr>
        <w:t>10. Betroffene Organisationseinheiten</w:t>
      </w:r>
    </w:p>
    <w:p>
      <w:pPr>
        <w:spacing w:after="80"/>
      </w:pPr>
      <w:r>
        <w:rPr>
          <w:b w:val="0"/>
          <w:i w:val="0"/>
          <w:sz w:val="20"/>
        </w:rPr>
        <w:t>Group IT Security, IT Infrastructure, Landes-IT aller Gesellschaften, Datenschutz, Betriebsrat.</w:t>
      </w:r>
    </w:p>
    <w:p>
      <w:pPr>
        <w:pStyle w:val="Heading2"/>
      </w:pPr>
      <w:r>
        <w:rPr>
          <w:color w:val="1F3A5F"/>
        </w:rPr>
        <w:t>11. Technische Abhängigkeiten</w:t>
      </w:r>
    </w:p>
    <w:p>
      <w:pPr>
        <w:spacing w:after="80"/>
      </w:pPr>
      <w:r>
        <w:rPr>
          <w:b w:val="0"/>
          <w:i w:val="0"/>
          <w:sz w:val="20"/>
        </w:rPr>
        <w:t>Voraussetzung: EDR-Rollout (SENTRY) abgeschlossen; Log-Forwarding aus SUMMIT Landing Zone.</w:t>
      </w:r>
    </w:p>
    <w:p>
      <w:pPr>
        <w:pStyle w:val="Heading2"/>
      </w:pPr>
      <w:r>
        <w:rPr>
          <w:color w:val="1F3A5F"/>
        </w:rPr>
        <w:t>12. Organisatorische Abhängigkeiten</w:t>
      </w:r>
    </w:p>
    <w:p>
      <w:pPr>
        <w:spacing w:after="80"/>
      </w:pPr>
      <w:r>
        <w:rPr>
          <w:b w:val="0"/>
          <w:i w:val="0"/>
          <w:sz w:val="20"/>
        </w:rPr>
        <w:t>NIS-2-Betroffenheit der Logistik-Sparte; Betriebsrat wegen Log-Auswertung.</w:t>
      </w:r>
    </w:p>
    <w:p>
      <w:pPr>
        <w:pStyle w:val="Heading2"/>
      </w:pPr>
      <w:r>
        <w:rPr>
          <w:color w:val="1F3A5F"/>
        </w:rPr>
        <w:t>13. Risikoanalyse</w:t>
      </w:r>
    </w:p>
    <w:p>
      <w:pPr>
        <w:pStyle w:val="ListBullet"/>
      </w:pPr>
      <w:r>
        <w:rPr>
          <w:sz w:val="20"/>
        </w:rPr>
        <w:t>Anbieter-Lock-in</w:t>
      </w:r>
    </w:p>
    <w:p>
      <w:pPr>
        <w:pStyle w:val="ListBullet"/>
      </w:pPr>
      <w:r>
        <w:rPr>
          <w:sz w:val="20"/>
        </w:rPr>
        <w:t>Datenschutz bei Log-Export in EU-Rechenzentrum des Anbieters</w:t>
      </w:r>
    </w:p>
    <w:p>
      <w:pPr>
        <w:pStyle w:val="ListBullet"/>
      </w:pPr>
      <w:r>
        <w:rPr>
          <w:sz w:val="20"/>
        </w:rPr>
        <w:t>Interne Ansprechpartner nachts nicht erreichbar</w:t>
      </w:r>
    </w:p>
    <w:p>
      <w:pPr>
        <w:pStyle w:val="Heading2"/>
      </w:pPr>
      <w:r>
        <w:rPr>
          <w:color w:val="1F3A5F"/>
        </w:rPr>
        <w:t>14. Anbieter-, Produkt- und Projektinformationen</w:t>
      </w:r>
    </w:p>
    <w:p>
      <w:pPr>
        <w:spacing w:after="80"/>
      </w:pPr>
      <w:r>
        <w:rPr>
          <w:b w:val="0"/>
          <w:i w:val="0"/>
          <w:sz w:val="20"/>
        </w:rPr>
        <w:t>Shortlist: drei europäische MSSP; Entscheidung nach Ausschreibung Q3/2026. SIEM-Technologie wird vom Anbieter gestellt.</w:t>
      </w:r>
    </w:p>
    <w:p>
      <w:pPr>
        <w:pStyle w:val="Heading2"/>
      </w:pPr>
      <w:r>
        <w:rPr>
          <w:color w:val="1F3A5F"/>
        </w:rPr>
        <w:t>15. Freigaben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Jan-Philipp Weber (CISO)  ____________________  Datum: ________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IT Portfolio Board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____________________  Datum: ________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Controlling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____________________  Datum: 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88888"/>
        <w:sz w:val="14"/>
      </w:rPr>
      <w:t>VELTRAX Group SE – IT Portfolio Management – BC-2026-0512.2 – Fiktives Beispiel für Testzwecke, alle Namen und Zahlen erfunden.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