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 w:val="0"/>
          <w:i w:val="0"/>
          <w:color w:val="666666"/>
          <w:sz w:val="18"/>
        </w:rPr>
        <w:t>PRJ-0601.1</w:t>
      </w:r>
    </w:p>
    <w:p>
      <w:pPr>
        <w:spacing w:after="40"/>
      </w:pPr>
      <w:r>
        <w:rPr>
          <w:b/>
          <w:i w:val="0"/>
          <w:color w:val="1F3A5F"/>
          <w:sz w:val="30"/>
        </w:rPr>
        <w:t>SPARK – GENAI-ASSISTENT FÜR INTERNE WISSENSSUCHE</w:t>
      </w:r>
    </w:p>
    <w:p>
      <w:pPr>
        <w:spacing w:after="160"/>
      </w:pPr>
      <w:r>
        <w:rPr>
          <w:b w:val="0"/>
          <w:i w:val="0"/>
          <w:color w:val="666666"/>
          <w:sz w:val="16"/>
        </w:rPr>
        <w:t xml:space="preserve">VELTRAX Group SE · Project Charter · Antragsdatum: 2026-08-28 · Vertraulichkeit: </w:t>
      </w:r>
    </w:p>
    <w:p>
      <w:pPr>
        <w:pStyle w:val="Heading2"/>
      </w:pPr>
      <w:r>
        <w:rPr>
          <w:color w:val="1F3A5F"/>
        </w:rPr>
        <w:t>1. Stammdaten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  <w:shd w:val="clear" w:color="auto" w:fill="E8EEF5"/>
          </w:tcPr>
          <w:p>
            <w:r/>
            <w:r>
              <w:rPr>
                <w:b/>
                <w:sz w:val="18"/>
              </w:rPr>
              <w:t>Partner / Operating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VELTRAX Corporate Services GmbH</w:t>
            </w:r>
          </w:p>
        </w:tc>
      </w:tr>
      <w:tr>
        <w:tc>
          <w:tcPr>
            <w:tcW w:type="dxa" w:w="2551"/>
            <w:shd w:val="clear" w:color="auto" w:fill="E8EEF5"/>
          </w:tcPr>
          <w:p>
            <w:r/>
            <w:r>
              <w:rPr>
                <w:b/>
                <w:sz w:val="18"/>
              </w:rPr>
              <w:t>Antragstellende Einheit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Corporate IT – Innovation</w:t>
            </w:r>
          </w:p>
        </w:tc>
      </w:tr>
      <w:tr>
        <w:tc>
          <w:tcPr>
            <w:tcW w:type="dxa" w:w="2551"/>
            <w:shd w:val="clear" w:color="auto" w:fill="E8EEF5"/>
          </w:tcPr>
          <w:p>
            <w:r/>
            <w:r>
              <w:rPr>
                <w:b/>
                <w:sz w:val="18"/>
              </w:rPr>
              <w:t>Project Sponsor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Thomas Riedl (CIO)</w:t>
            </w:r>
          </w:p>
        </w:tc>
      </w:tr>
      <w:tr>
        <w:tc>
          <w:tcPr>
            <w:tcW w:type="dxa" w:w="2551"/>
            <w:shd w:val="clear" w:color="auto" w:fill="E8EEF5"/>
          </w:tcPr>
          <w:p>
            <w:r/>
            <w:r>
              <w:rPr>
                <w:b/>
                <w:sz w:val="18"/>
              </w:rPr>
              <w:t>Project Manager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Amir Haddad</w:t>
            </w:r>
          </w:p>
        </w:tc>
      </w:tr>
      <w:tr>
        <w:tc>
          <w:tcPr>
            <w:tcW w:type="dxa" w:w="2551"/>
            <w:shd w:val="clear" w:color="auto" w:fill="E8EEF5"/>
          </w:tcPr>
          <w:p>
            <w:r/>
            <w:r>
              <w:rPr>
                <w:b/>
                <w:sz w:val="18"/>
              </w:rPr>
              <w:t>Lead – Affected Countries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CORP; DE</w:t>
            </w:r>
          </w:p>
        </w:tc>
      </w:tr>
      <w:tr>
        <w:tc>
          <w:tcPr>
            <w:tcW w:type="dxa" w:w="2551"/>
            <w:shd w:val="clear" w:color="auto" w:fill="E8EEF5"/>
          </w:tcPr>
          <w:p>
            <w:r/>
            <w:r>
              <w:rPr>
                <w:b/>
                <w:sz w:val="18"/>
              </w:rPr>
              <w:t>Start (FY) / Go-Live (FY)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2026 / 2026</w:t>
            </w:r>
          </w:p>
        </w:tc>
      </w:tr>
      <w:tr>
        <w:tc>
          <w:tcPr>
            <w:tcW w:type="dxa" w:w="2551"/>
            <w:shd w:val="clear" w:color="auto" w:fill="E8EEF5"/>
          </w:tcPr>
          <w:p>
            <w:r/>
            <w:r>
              <w:rPr>
                <w:b/>
                <w:sz w:val="18"/>
              </w:rPr>
              <w:t>Project Number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BC-2026-0601.1</w:t>
            </w:r>
          </w:p>
        </w:tc>
      </w:tr>
      <w:tr>
        <w:tc>
          <w:tcPr>
            <w:tcW w:type="dxa" w:w="2551"/>
            <w:shd w:val="clear" w:color="auto" w:fill="E8EEF5"/>
          </w:tcPr>
          <w:p>
            <w:r/>
            <w:r>
              <w:rPr>
                <w:b/>
                <w:sz w:val="18"/>
              </w:rPr>
              <w:t>Strategic Objective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CUSTOMER VALUE</w:t>
            </w:r>
          </w:p>
        </w:tc>
      </w:tr>
    </w:tbl>
    <w:p>
      <w:pPr>
        <w:pStyle w:val="Heading2"/>
      </w:pPr>
      <w:r>
        <w:rPr>
          <w:color w:val="1F3A5F"/>
        </w:rPr>
        <w:t>2. Beschreibung</w:t>
      </w:r>
    </w:p>
    <w:p>
      <w:pPr>
        <w:spacing w:after="80"/>
      </w:pPr>
      <w:r>
        <w:rPr>
          <w:b w:val="0"/>
          <w:i w:val="0"/>
          <w:sz w:val="20"/>
        </w:rPr>
        <w:t>Pilotierung eines KI-Assistenten (RAG über Intranet, Richtlinien, IT-Dokumentation, Verträge) für 500 Nutzer in Zentralfunktionen mit anschließender Entscheidung über Konzern-Rollout. Enthält Berechtigungskonzept, sodass Nutzer nur Inhalte sehen, auf die sie ohnehin Zugriff haben.</w:t>
      </w:r>
    </w:p>
    <w:p>
      <w:pPr>
        <w:pStyle w:val="Heading2"/>
      </w:pPr>
      <w:r>
        <w:rPr>
          <w:color w:val="1F3A5F"/>
        </w:rPr>
        <w:t>3. Objective (OKR/VCP)</w:t>
      </w:r>
    </w:p>
    <w:p>
      <w:pPr>
        <w:spacing w:after="80"/>
      </w:pPr>
      <w:r>
        <w:rPr>
          <w:b w:val="0"/>
          <w:i w:val="0"/>
          <w:sz w:val="20"/>
        </w:rPr>
        <w:t>OBJ-450 – Suchzeit für interne Informationen halbieren.</w:t>
      </w:r>
    </w:p>
    <w:p>
      <w:pPr>
        <w:pStyle w:val="Heading2"/>
      </w:pPr>
      <w:r>
        <w:rPr>
          <w:color w:val="1F3A5F"/>
        </w:rPr>
        <w:t>4. Metrics</w:t>
      </w:r>
    </w:p>
    <w:p>
      <w:pPr>
        <w:pStyle w:val="ListBullet"/>
      </w:pPr>
      <w:r>
        <w:rPr>
          <w:sz w:val="20"/>
        </w:rPr>
        <w:t>Suchzeit je Anfrage −50 % (Messung im Pilot)</w:t>
      </w:r>
    </w:p>
    <w:p>
      <w:pPr>
        <w:pStyle w:val="ListBullet"/>
      </w:pPr>
      <w:r>
        <w:rPr>
          <w:sz w:val="20"/>
        </w:rPr>
        <w:t>Antwortqualität ≥ 80 % korrekt (Stichprobe)</w:t>
      </w:r>
    </w:p>
    <w:p>
      <w:pPr>
        <w:pStyle w:val="ListBullet"/>
      </w:pPr>
      <w:r>
        <w:rPr>
          <w:sz w:val="20"/>
        </w:rPr>
        <w:t>Wöchentlich aktive Nutzer &gt; 60 % der Pilotgruppe</w:t>
      </w:r>
    </w:p>
    <w:p>
      <w:pPr>
        <w:pStyle w:val="Heading2"/>
      </w:pPr>
      <w:r>
        <w:rPr>
          <w:color w:val="1F3A5F"/>
        </w:rPr>
        <w:t>5. Planned Deliverables</w:t>
      </w:r>
    </w:p>
    <w:p>
      <w:pPr>
        <w:pStyle w:val="ListBullet"/>
      </w:pPr>
      <w:r>
        <w:rPr>
          <w:sz w:val="20"/>
        </w:rPr>
        <w:t>Pilot mit 500 Nutzern</w:t>
      </w:r>
    </w:p>
    <w:p>
      <w:pPr>
        <w:pStyle w:val="ListBullet"/>
      </w:pPr>
      <w:r>
        <w:rPr>
          <w:sz w:val="20"/>
        </w:rPr>
        <w:t>Berechtigungskonzept und Datenanbindung</w:t>
      </w:r>
    </w:p>
    <w:p>
      <w:pPr>
        <w:pStyle w:val="ListBullet"/>
      </w:pPr>
      <w:r>
        <w:rPr>
          <w:sz w:val="20"/>
        </w:rPr>
        <w:t>Entscheidungsvorlage Rollout</w:t>
      </w:r>
    </w:p>
    <w:p>
      <w:pPr>
        <w:pStyle w:val="Heading2"/>
      </w:pPr>
      <w:r>
        <w:rPr>
          <w:color w:val="1F3A5F"/>
        </w:rPr>
        <w:t>6. Finanzübersicht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r/>
            <w:r>
              <w:rPr>
                <w:b/>
                <w:sz w:val="18"/>
              </w:rPr>
              <w:t>Total One-Off</w:t>
            </w:r>
          </w:p>
        </w:tc>
        <w:tc>
          <w:tcPr>
            <w:tcW w:type="dxa" w:w="2493"/>
            <w:shd w:val="clear" w:color="auto" w:fill="E8EEF5"/>
          </w:tcPr>
          <w:p>
            <w:r/>
            <w:r>
              <w:rPr>
                <w:b/>
                <w:sz w:val="18"/>
              </w:rPr>
              <w:t>Avg. Recurrent p.a.</w:t>
            </w:r>
          </w:p>
        </w:tc>
        <w:tc>
          <w:tcPr>
            <w:tcW w:type="dxa" w:w="2493"/>
            <w:shd w:val="clear" w:color="auto" w:fill="E8EEF5"/>
          </w:tcPr>
          <w:p>
            <w:r/>
            <w:r>
              <w:rPr>
                <w:b/>
                <w:sz w:val="18"/>
              </w:rPr>
              <w:t>Already Spent</w:t>
            </w:r>
          </w:p>
        </w:tc>
        <w:tc>
          <w:tcPr>
            <w:tcW w:type="dxa" w:w="2493"/>
            <w:shd w:val="clear" w:color="auto" w:fill="E8EEF5"/>
          </w:tcPr>
          <w:p>
            <w:r/>
            <w:r>
              <w:rPr>
                <w:b/>
                <w:sz w:val="18"/>
              </w:rPr>
              <w:t>Iteration Value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210 T€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30 T€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17 T€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74 T€</w:t>
            </w:r>
          </w:p>
        </w:tc>
      </w:tr>
    </w:tbl>
    <w:p>
      <w:pPr>
        <w:spacing w:after="40"/>
      </w:pPr>
      <w:r>
        <w:rPr>
          <w:b w:val="0"/>
          <w:i w:val="0"/>
          <w:sz w:val="2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  <w:shd w:val="clear" w:color="auto" w:fill="E8EEF5"/>
          </w:tcPr>
          <w:p>
            <w:r/>
            <w:r>
              <w:rPr>
                <w:b/>
                <w:sz w:val="18"/>
              </w:rPr>
              <w:t>Total costs (alle Jahre)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510.000 €</w:t>
            </w:r>
          </w:p>
        </w:tc>
      </w:tr>
      <w:tr>
        <w:tc>
          <w:tcPr>
            <w:tcW w:type="dxa" w:w="2551"/>
            <w:shd w:val="clear" w:color="auto" w:fill="E8EEF5"/>
          </w:tcPr>
          <w:p>
            <w:r/>
            <w:r>
              <w:rPr>
                <w:b/>
                <w:sz w:val="18"/>
              </w:rPr>
              <w:t>Total benefits (alle Jahre)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1.330.000 €</w:t>
            </w:r>
          </w:p>
        </w:tc>
      </w:tr>
      <w:tr>
        <w:tc>
          <w:tcPr>
            <w:tcW w:type="dxa" w:w="2551"/>
            <w:shd w:val="clear" w:color="auto" w:fill="E8EEF5"/>
          </w:tcPr>
          <w:p>
            <w:r/>
            <w:r>
              <w:rPr>
                <w:b/>
                <w:sz w:val="18"/>
              </w:rPr>
              <w:t>EBIT (alle Jahre)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820.000 €</w:t>
            </w:r>
          </w:p>
        </w:tc>
      </w:tr>
      <w:tr>
        <w:tc>
          <w:tcPr>
            <w:tcW w:type="dxa" w:w="2551"/>
            <w:shd w:val="clear" w:color="auto" w:fill="E8EEF5"/>
          </w:tcPr>
          <w:p>
            <w:r/>
            <w:r>
              <w:rPr>
                <w:b/>
                <w:sz w:val="18"/>
              </w:rPr>
              <w:t>Discounted EVA (alle Jahre)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398.374 €</w:t>
            </w:r>
          </w:p>
        </w:tc>
      </w:tr>
      <w:tr>
        <w:tc>
          <w:tcPr>
            <w:tcW w:type="dxa" w:w="2551"/>
            <w:shd w:val="clear" w:color="auto" w:fill="E8EEF5"/>
          </w:tcPr>
          <w:p>
            <w:r/>
            <w:r>
              <w:rPr>
                <w:b/>
                <w:sz w:val="18"/>
              </w:rPr>
              <w:t>ROI (alle Jahre)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1,61</w:t>
            </w:r>
          </w:p>
        </w:tc>
      </w:tr>
      <w:tr>
        <w:tc>
          <w:tcPr>
            <w:tcW w:type="dxa" w:w="2551"/>
            <w:shd w:val="clear" w:color="auto" w:fill="E8EEF5"/>
          </w:tcPr>
          <w:p>
            <w:r/>
            <w:r>
              <w:rPr>
                <w:b/>
                <w:sz w:val="18"/>
              </w:rPr>
              <w:t>Payback Period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≈ 18,5 Monate</w:t>
            </w:r>
          </w:p>
        </w:tc>
      </w:tr>
    </w:tbl>
    <w:p>
      <w:pPr>
        <w:spacing w:after="40"/>
      </w:pPr>
      <w:r>
        <w:rPr>
          <w:b w:val="0"/>
          <w:i w:val="0"/>
          <w:sz w:val="20"/>
        </w:rPr>
      </w:r>
    </w:p>
    <w:p>
      <w:pPr>
        <w:spacing w:after="40"/>
      </w:pPr>
      <w:r>
        <w:rPr>
          <w:b/>
          <w:i w:val="0"/>
          <w:sz w:val="20"/>
        </w:rPr>
        <w:t>One-off (Startjahr):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r/>
            <w:r>
              <w:rPr>
                <w:b/>
                <w:sz w:val="18"/>
              </w:rPr>
              <w:t>Position</w:t>
            </w:r>
          </w:p>
        </w:tc>
        <w:tc>
          <w:tcPr>
            <w:tcW w:type="dxa" w:w="3324"/>
            <w:shd w:val="clear" w:color="auto" w:fill="E8EEF5"/>
          </w:tcPr>
          <w:p>
            <w:r/>
            <w:r>
              <w:rPr>
                <w:b/>
                <w:sz w:val="18"/>
              </w:rPr>
              <w:t>Betrag (€)</w:t>
            </w:r>
          </w:p>
        </w:tc>
        <w:tc>
          <w:tcPr>
            <w:tcW w:type="dxa" w:w="3324"/>
            <w:shd w:val="clear" w:color="auto" w:fill="E8EEF5"/>
          </w:tcPr>
          <w:p>
            <w:r/>
            <w:r>
              <w:rPr>
                <w:b/>
                <w:sz w:val="18"/>
              </w:rPr>
              <w:t>Beschreibung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SC 70 - Project Capitalizable (intern)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70.000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Internal product, process and architecture effort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SC 70 - Project Capitalizable (extern)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90.000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External development / implementation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SC 10 - Project Non Capitalizable (intern)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30.000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Internal rollout, testing and change effort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SC 10 - Project Non Capitalizable (extern)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20.000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External rollout, migration and launch support</w:t>
            </w:r>
          </w:p>
        </w:tc>
      </w:tr>
    </w:tbl>
    <w:p>
      <w:pPr>
        <w:spacing w:after="40"/>
      </w:pPr>
      <w:r>
        <w:rPr>
          <w:b w:val="0"/>
          <w:i w:val="0"/>
          <w:sz w:val="20"/>
        </w:rPr>
      </w:r>
    </w:p>
    <w:p>
      <w:pPr>
        <w:spacing w:after="40"/>
      </w:pPr>
      <w:r>
        <w:rPr>
          <w:b/>
          <w:i w:val="0"/>
          <w:sz w:val="20"/>
        </w:rPr>
        <w:t>Recurrent (ab Go-Live, p.a.):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r/>
            <w:r>
              <w:rPr>
                <w:b/>
                <w:sz w:val="18"/>
              </w:rPr>
              <w:t>Position</w:t>
            </w:r>
          </w:p>
        </w:tc>
        <w:tc>
          <w:tcPr>
            <w:tcW w:type="dxa" w:w="3324"/>
            <w:shd w:val="clear" w:color="auto" w:fill="E8EEF5"/>
          </w:tcPr>
          <w:p>
            <w:r/>
            <w:r>
              <w:rPr>
                <w:b/>
                <w:sz w:val="18"/>
              </w:rPr>
              <w:t>Betrag (€)</w:t>
            </w:r>
          </w:p>
        </w:tc>
        <w:tc>
          <w:tcPr>
            <w:tcW w:type="dxa" w:w="3324"/>
            <w:shd w:val="clear" w:color="auto" w:fill="E8EEF5"/>
          </w:tcPr>
          <w:p>
            <w:r/>
            <w:r>
              <w:rPr>
                <w:b/>
                <w:sz w:val="18"/>
              </w:rPr>
              <w:t>Beschreibung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SC 30 - Maint. and Support (intern)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30.000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Internal support and application operations</w:t>
            </w:r>
          </w:p>
        </w:tc>
      </w:tr>
    </w:tbl>
    <w:p>
      <w:pPr>
        <w:pStyle w:val="Heading2"/>
      </w:pPr>
      <w:r>
        <w:rPr>
          <w:color w:val="1F3A5F"/>
        </w:rPr>
        <w:t>7. Erwarteter wirtschaftlicher Nutzen</w:t>
      </w:r>
    </w:p>
    <w:p>
      <w:pPr>
        <w:spacing w:after="40"/>
      </w:pPr>
      <w:r>
        <w:rPr>
          <w:b/>
          <w:i w:val="0"/>
          <w:sz w:val="20"/>
        </w:rPr>
        <w:t>Cost Savings (p.a. ab Vollbetrieb):</w:t>
      </w:r>
    </w:p>
    <w:p>
      <w:pPr>
        <w:pStyle w:val="ListBullet"/>
      </w:pPr>
      <w:r>
        <w:rPr>
          <w:sz w:val="20"/>
        </w:rPr>
        <w:t>140.000 € — Zeitersparnis Suche (Pilotgruppe, hochgerechnet)</w:t>
      </w:r>
    </w:p>
    <w:p>
      <w:pPr>
        <w:spacing w:after="80"/>
      </w:pPr>
      <w:r>
        <w:rPr>
          <w:b w:val="0"/>
          <w:i w:val="0"/>
          <w:sz w:val="20"/>
        </w:rPr>
        <w:t>Nicht-quantitative Nutzen: Lernen über GenAI im Konzern; Grundlage Rollout-Entscheidung.</w:t>
      </w:r>
    </w:p>
    <w:p>
      <w:pPr>
        <w:pStyle w:val="Heading2"/>
      </w:pPr>
      <w:r>
        <w:rPr>
          <w:color w:val="1F3A5F"/>
        </w:rPr>
        <w:t>8. Fachlicher und organisatorischer Nutzen</w:t>
      </w:r>
    </w:p>
    <w:p>
      <w:pPr>
        <w:spacing w:after="80"/>
      </w:pPr>
      <w:r>
        <w:rPr>
          <w:b w:val="0"/>
          <w:i w:val="0"/>
          <w:sz w:val="20"/>
        </w:rPr>
        <w:t>Mitarbeiter verbringen laut Umfrage 2025 rund 1,5 Stunden pro Woche mit der Suche nach internen Informationen.</w:t>
      </w:r>
    </w:p>
    <w:p>
      <w:pPr>
        <w:pStyle w:val="Heading2"/>
      </w:pPr>
      <w:r>
        <w:rPr>
          <w:color w:val="1F3A5F"/>
        </w:rPr>
        <w:t>9. Betroffene Geschäftsprozesse</w:t>
      </w:r>
    </w:p>
    <w:p>
      <w:pPr>
        <w:spacing w:after="80"/>
      </w:pPr>
      <w:r>
        <w:rPr>
          <w:b w:val="0"/>
          <w:i w:val="0"/>
          <w:sz w:val="20"/>
        </w:rPr>
        <w:t>Wissensmanagement, IT-Support (Self-Service), Richtlinienauskunft.</w:t>
      </w:r>
    </w:p>
    <w:p>
      <w:pPr>
        <w:pStyle w:val="Heading2"/>
      </w:pPr>
      <w:r>
        <w:rPr>
          <w:color w:val="1F3A5F"/>
        </w:rPr>
        <w:t>10. Betroffene Organisationseinheiten</w:t>
      </w:r>
    </w:p>
    <w:p>
      <w:pPr>
        <w:spacing w:after="80"/>
      </w:pPr>
      <w:r>
        <w:rPr>
          <w:b w:val="0"/>
          <w:i w:val="0"/>
          <w:sz w:val="20"/>
        </w:rPr>
        <w:t>Innovation, Corporate Communications, IT Security, Datenschutz, Legal.</w:t>
      </w:r>
    </w:p>
    <w:p>
      <w:pPr>
        <w:pStyle w:val="Heading2"/>
      </w:pPr>
      <w:r>
        <w:rPr>
          <w:color w:val="1F3A5F"/>
        </w:rPr>
        <w:t>11. Technische Abhängigkeiten</w:t>
      </w:r>
    </w:p>
    <w:p>
      <w:pPr>
        <w:spacing w:after="80"/>
      </w:pPr>
      <w:r>
        <w:rPr>
          <w:b w:val="0"/>
          <w:i w:val="0"/>
          <w:sz w:val="20"/>
        </w:rPr>
        <w:t>MERIDIAN als Content-Quelle, KEYSTONE für Berechtigungen, SUMMIT für Hosting.</w:t>
      </w:r>
    </w:p>
    <w:p>
      <w:pPr>
        <w:pStyle w:val="Heading2"/>
      </w:pPr>
      <w:r>
        <w:rPr>
          <w:color w:val="1F3A5F"/>
        </w:rPr>
        <w:t>12. Organisatorische Abhängigkeiten</w:t>
      </w:r>
    </w:p>
    <w:p>
      <w:pPr>
        <w:spacing w:after="80"/>
      </w:pPr>
      <w:r>
        <w:rPr>
          <w:b w:val="0"/>
          <w:i w:val="0"/>
          <w:sz w:val="20"/>
        </w:rPr>
        <w:t>KI-Richtlinie muss verabschiedet sein; Betriebsrat.</w:t>
      </w:r>
    </w:p>
    <w:p>
      <w:pPr>
        <w:pStyle w:val="Heading2"/>
      </w:pPr>
      <w:r>
        <w:rPr>
          <w:color w:val="1F3A5F"/>
        </w:rPr>
        <w:t>13. Risikoanalyse</w:t>
      </w:r>
    </w:p>
    <w:p>
      <w:pPr>
        <w:pStyle w:val="ListBullet"/>
      </w:pPr>
      <w:r>
        <w:rPr>
          <w:sz w:val="20"/>
        </w:rPr>
        <w:t>Lorem ipsum dolor sit amet, consetetur sadipscing elitr</w:t>
      </w:r>
    </w:p>
    <w:p>
      <w:pPr>
        <w:pStyle w:val="ListBullet"/>
      </w:pPr>
      <w:r>
        <w:rPr>
          <w:sz w:val="20"/>
        </w:rPr>
        <w:t>Halluzinationen bei Richtlinienfragen</w:t>
      </w:r>
    </w:p>
    <w:p>
      <w:pPr>
        <w:pStyle w:val="ListBullet"/>
      </w:pPr>
      <w:r>
        <w:rPr>
          <w:sz w:val="20"/>
        </w:rPr>
        <w:t>Datenabfluss an Modellanbieter</w:t>
      </w:r>
    </w:p>
    <w:p>
      <w:pPr>
        <w:pStyle w:val="Heading2"/>
      </w:pPr>
      <w:r>
        <w:rPr>
          <w:color w:val="1F3A5F"/>
        </w:rPr>
        <w:t>14. Anbieter-, Produkt- und Projektinformationen</w:t>
      </w:r>
    </w:p>
    <w:p>
      <w:pPr>
        <w:spacing w:after="80"/>
      </w:pPr>
      <w:r>
        <w:rPr>
          <w:b w:val="0"/>
          <w:i w:val="0"/>
          <w:sz w:val="20"/>
        </w:rPr>
        <w:t>Microsoft Copilot Studio mit Azure OpenAI; Alternative: Open-Source-Stack (Evaluierung).</w:t>
      </w:r>
    </w:p>
    <w:p>
      <w:pPr>
        <w:pStyle w:val="Heading2"/>
      </w:pPr>
      <w:r>
        <w:rPr>
          <w:color w:val="1F3A5F"/>
        </w:rPr>
        <w:t>15. Freigaben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  <w:shd w:val="clear" w:color="auto" w:fill="E8EEF5"/>
          </w:tcPr>
          <w:p>
            <w:r/>
            <w:r>
              <w:rPr>
                <w:b/>
                <w:sz w:val="18"/>
              </w:rPr>
              <w:t>Sponsor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Thomas Riedl (CIO)  ____________________  Datum: ________</w:t>
            </w:r>
          </w:p>
        </w:tc>
      </w:tr>
      <w:tr>
        <w:tc>
          <w:tcPr>
            <w:tcW w:type="dxa" w:w="2551"/>
            <w:shd w:val="clear" w:color="auto" w:fill="E8EEF5"/>
          </w:tcPr>
          <w:p>
            <w:r/>
            <w:r>
              <w:rPr>
                <w:b/>
                <w:sz w:val="18"/>
              </w:rPr>
              <w:t>IT Portfolio Board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____________________  Datum: ________</w:t>
            </w:r>
          </w:p>
        </w:tc>
      </w:tr>
      <w:tr>
        <w:tc>
          <w:tcPr>
            <w:tcW w:type="dxa" w:w="2551"/>
            <w:shd w:val="clear" w:color="auto" w:fill="E8EEF5"/>
          </w:tcPr>
          <w:p>
            <w:r/>
            <w:r>
              <w:rPr>
                <w:b/>
                <w:sz w:val="18"/>
              </w:rPr>
              <w:t>Controlling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____________________  Datum: ________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888888"/>
        <w:sz w:val="14"/>
      </w:rPr>
      <w:t>VELTRAX Group SE – IT Portfolio Management – BC-2026-0601.1 – Fiktives Beispiel für Testzwecke, alle Namen und Zahlen erfunden.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