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color w:val="003B70"/>
          <w:sz w:val="32"/>
        </w:rPr>
        <w:t>TEST-PRJ-002</w:t>
      </w:r>
    </w:p>
    <w:p>
      <w:pPr>
        <w:spacing w:after="120"/>
      </w:pPr>
      <w:r>
        <w:rPr>
          <w:rFonts w:ascii="Aptos Display" w:hAnsi="Aptos Display"/>
          <w:b/>
          <w:color w:val="003B70"/>
          <w:sz w:val="48"/>
        </w:rPr>
        <w:t>PRODUCT 2 | CONSOLIDATED BILLING SERVICE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5329"/>
        <w:gridCol w:w="3175"/>
        <w:gridCol w:w="4422"/>
      </w:tblGrid>
      <w:tr>
        <w:tc>
          <w:tcPr>
            <w:tcW w:type="dxa" w:w="3926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2"/>
              </w:rPr>
              <w:t>Operating</w:t>
              <w:br/>
              <w:t>Partner</w:t>
            </w:r>
          </w:p>
        </w:tc>
        <w:tc>
          <w:tcPr>
            <w:tcW w:type="dxa" w:w="3926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003B70"/>
                <w:sz w:val="22"/>
              </w:rPr>
              <w:t>Test Business Unit B - Finance Services</w:t>
            </w:r>
          </w:p>
        </w:tc>
        <w:tc>
          <w:tcPr>
            <w:tcW w:type="dxa" w:w="3926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2"/>
              </w:rPr>
              <w:t>Strategic</w:t>
              <w:br/>
              <w:t>Objectives</w:t>
            </w:r>
          </w:p>
        </w:tc>
        <w:tc>
          <w:tcPr>
            <w:tcW w:type="dxa" w:w="3926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D70000"/>
                <w:sz w:val="24"/>
              </w:rPr>
              <w:t>CUSTOMER</w:t>
              <w:br/>
            </w:r>
            <w:r>
              <w:rPr>
                <w:rFonts w:ascii="Aptos" w:hAnsi="Aptos"/>
                <w:b/>
                <w:color w:val="2B78C5"/>
                <w:sz w:val="24"/>
              </w:rPr>
              <w:t>PROCESS EFFICIENCY</w:t>
            </w:r>
          </w:p>
        </w:tc>
      </w:tr>
      <w:tr>
        <w:tc>
          <w:tcPr>
            <w:tcW w:type="dxa" w:w="2721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Lead - Affected</w:t>
              <w:br/>
              <w:t>Countries</w:t>
            </w:r>
          </w:p>
        </w:tc>
        <w:tc>
          <w:tcPr>
            <w:tcW w:type="dxa" w:w="12926"/>
            <w:gridSpan w:val="3"/>
            <w:shd w:fill="DCEAF7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1F1F"/>
                <w:sz w:val="22"/>
              </w:rPr>
              <w:t>TEST - REGION A; REGION D; REGION E</w:t>
            </w:r>
          </w:p>
        </w:tc>
      </w:tr>
      <w:tr>
        <w:tc>
          <w:tcPr>
            <w:tcW w:type="dxa" w:w="2721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Description</w:t>
            </w:r>
          </w:p>
        </w:tc>
        <w:tc>
          <w:tcPr>
            <w:tcW w:type="dxa" w:w="12926"/>
            <w:gridSpan w:val="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1F1F"/>
                <w:sz w:val="22"/>
              </w:rPr>
              <w:t>Product 2 is a fictional billing service for simulated B2B customers. It groups multiple sample delivery records into one periodic statement and stores them in a test archive. All customers, documents, volumes and process data are generated solely for testing.</w:t>
            </w:r>
          </w:p>
        </w:tc>
      </w:tr>
      <w:tr>
        <w:tc>
          <w:tcPr>
            <w:tcW w:type="dxa" w:w="2721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Objective</w:t>
              <w:br/>
              <w:t>(OKR/VCP)</w:t>
            </w:r>
          </w:p>
        </w:tc>
        <w:tc>
          <w:tcPr>
            <w:tcW w:type="dxa" w:w="12926"/>
            <w:gridSpan w:val="3"/>
            <w:shd w:fill="DCEAF7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1F1F"/>
                <w:sz w:val="22"/>
              </w:rPr>
              <w:t>Simplify billing in the simulation and reduce manual processing of sample documents.</w:t>
            </w:r>
          </w:p>
        </w:tc>
      </w:tr>
      <w:tr>
        <w:tc>
          <w:tcPr>
            <w:tcW w:type="dxa" w:w="2721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Metrics</w:t>
            </w:r>
          </w:p>
        </w:tc>
        <w:tc>
          <w:tcPr>
            <w:tcW w:type="dxa" w:w="12926"/>
            <w:gridSpan w:val="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1F1F"/>
                <w:sz w:val="22"/>
              </w:rPr>
              <w:t>12% adoption among test accounts; 18% fewer manual billing requests; 400 consolidated test documents per month in the pilot.</w:t>
            </w:r>
          </w:p>
        </w:tc>
      </w:tr>
      <w:tr>
        <w:tc>
          <w:tcPr>
            <w:tcW w:type="dxa" w:w="2721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Planned</w:t>
              <w:br/>
              <w:t>Deliverables</w:t>
            </w:r>
          </w:p>
        </w:tc>
        <w:tc>
          <w:tcPr>
            <w:tcW w:type="dxa" w:w="12926"/>
            <w:gridSpan w:val="3"/>
            <w:shd w:fill="DCEAF7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1F1F"/>
                <w:sz w:val="22"/>
              </w:rPr>
              <w:t>Pilot in synthetic Region D; configurable consolidation rules; test archive and audit log; sample reporting dashboard.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1814"/>
        <w:gridCol w:w="1701"/>
        <w:gridCol w:w="1814"/>
        <w:gridCol w:w="1701"/>
        <w:gridCol w:w="1984"/>
        <w:gridCol w:w="1814"/>
      </w:tblGrid>
      <w:tr>
        <w:tc>
          <w:tcPr>
            <w:tcW w:type="dxa" w:w="1963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Iteration Value</w:t>
            </w:r>
          </w:p>
        </w:tc>
        <w:tc>
          <w:tcPr>
            <w:tcW w:type="dxa" w:w="196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1F1F"/>
                <w:sz w:val="21"/>
              </w:rPr>
              <w:t>150 T€*</w:t>
            </w:r>
          </w:p>
        </w:tc>
        <w:tc>
          <w:tcPr>
            <w:tcW w:type="dxa" w:w="1963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Already</w:t>
              <w:br/>
              <w:t>Spent</w:t>
            </w:r>
          </w:p>
        </w:tc>
        <w:tc>
          <w:tcPr>
            <w:tcW w:type="dxa" w:w="196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1F1F"/>
                <w:sz w:val="21"/>
              </w:rPr>
              <w:t>40 T€*</w:t>
            </w:r>
          </w:p>
        </w:tc>
        <w:tc>
          <w:tcPr>
            <w:tcW w:type="dxa" w:w="1963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Total</w:t>
              <w:br/>
              <w:t>One-Off</w:t>
            </w:r>
          </w:p>
        </w:tc>
        <w:tc>
          <w:tcPr>
            <w:tcW w:type="dxa" w:w="196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1F1F"/>
                <w:sz w:val="21"/>
              </w:rPr>
              <w:t>400 T€*</w:t>
            </w:r>
          </w:p>
        </w:tc>
        <w:tc>
          <w:tcPr>
            <w:tcW w:type="dxa" w:w="1963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Avg.</w:t>
              <w:br/>
              <w:t>Recurrent</w:t>
            </w:r>
          </w:p>
        </w:tc>
        <w:tc>
          <w:tcPr>
            <w:tcW w:type="dxa" w:w="196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1F1F"/>
                <w:sz w:val="21"/>
              </w:rPr>
              <w:t>70 T€*</w:t>
            </w:r>
          </w:p>
        </w:tc>
      </w:tr>
    </w:tbl>
    <w:p>
      <w:pPr>
        <w:spacing w:before="100" w:after="0"/>
      </w:pPr>
      <w:r>
        <w:rPr>
          <w:rFonts w:ascii="Aptos" w:hAnsi="Aptos"/>
          <w:i/>
          <w:color w:val="5F5F5F"/>
          <w:sz w:val="17"/>
        </w:rPr>
        <w:t>* SYNTHETIC TEST DATA: All names, IDs, regions, persons, figures and descriptions are fictitious and created solely for testing. No real company, customer, employee or project data is included.</w:t>
      </w:r>
    </w:p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