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 w:val="0"/>
          <w:i w:val="0"/>
          <w:color w:val="666666"/>
          <w:sz w:val="18"/>
        </w:rPr>
        <w:t>PRJ-0615.1</w:t>
      </w:r>
    </w:p>
    <w:p>
      <w:pPr>
        <w:spacing w:after="40"/>
      </w:pPr>
      <w:r>
        <w:rPr>
          <w:b/>
          <w:i w:val="0"/>
          <w:color w:val="1F3A5F"/>
          <w:sz w:val="30"/>
        </w:rPr>
        <w:t>MOSAIC – MASTER DATA MANAGEMENT KUNDEN, LIEFERANTEN, MATERIAL</w:t>
      </w:r>
    </w:p>
    <w:p>
      <w:pPr>
        <w:spacing w:after="160"/>
      </w:pPr>
      <w:r>
        <w:rPr>
          <w:b w:val="0"/>
          <w:i w:val="0"/>
          <w:color w:val="666666"/>
          <w:sz w:val="16"/>
        </w:rPr>
        <w:t>VELTRAX Group SE · Project Charter · Antragsdatum: 2026-09-03 · Vertraulichkeit: intern</w:t>
      </w:r>
    </w:p>
    <w:p>
      <w:pPr>
        <w:pStyle w:val="Heading2"/>
      </w:pPr>
      <w:r>
        <w:rPr>
          <w:color w:val="1F3A5F"/>
        </w:rPr>
        <w:t>1. Stammdaten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Partner / Operating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VELTRAX Corporate Services GmbH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Antragstellende Einheit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Corporate IT – Data &amp; Analytics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Project Sponsor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Nadine Öztürk (Head of Data &amp; Analytics)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Project Manager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Christian Volkert (MDM Lead)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Lead – Affected Countries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CORP; DE; AT; CH; FR; ES; IT; NL; BE; PL; CZ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Start (FY) / Go-Live (FY)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 / 2027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Project Number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BC-2026-0615.1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Strategic Objective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CUSTOMER VALUE</w:t>
            </w:r>
          </w:p>
        </w:tc>
      </w:tr>
    </w:tbl>
    <w:p>
      <w:pPr>
        <w:pStyle w:val="Heading2"/>
      </w:pPr>
      <w:r>
        <w:rPr>
          <w:color w:val="1F3A5F"/>
        </w:rPr>
        <w:t>2. Beschreibung</w:t>
      </w:r>
    </w:p>
    <w:p>
      <w:pPr>
        <w:spacing w:after="80"/>
      </w:pPr>
      <w:r>
        <w:rPr>
          <w:b w:val="0"/>
          <w:i w:val="0"/>
          <w:sz w:val="20"/>
        </w:rPr>
        <w:t>Einführung eines zentralen Stammdatenmanagements mit Golden Record, Dublettenbereinigung, Freigabe-Workflows und Data Stewardship für Kunden-, Lieferanten- und Materialstammdaten. Voraussetzung für ORBIT, HALO, TRIDENT und VANTAGE.</w:t>
      </w:r>
    </w:p>
    <w:p>
      <w:pPr>
        <w:pStyle w:val="Heading2"/>
      </w:pPr>
      <w:r>
        <w:rPr>
          <w:color w:val="1F3A5F"/>
        </w:rPr>
        <w:t>3. Objective (OKR/VCP)</w:t>
      </w:r>
    </w:p>
    <w:p>
      <w:pPr>
        <w:spacing w:after="80"/>
      </w:pPr>
      <w:r>
        <w:rPr>
          <w:b w:val="0"/>
          <w:i w:val="0"/>
          <w:sz w:val="20"/>
        </w:rPr>
        <w:t>OBJ-402 – Ein Stammsatz je Geschäftspartner konzernweit.</w:t>
      </w:r>
    </w:p>
    <w:p>
      <w:pPr>
        <w:pStyle w:val="Heading2"/>
      </w:pPr>
      <w:r>
        <w:rPr>
          <w:color w:val="1F3A5F"/>
        </w:rPr>
        <w:t>4. Metrics</w:t>
      </w:r>
    </w:p>
    <w:p>
      <w:pPr>
        <w:pStyle w:val="ListBullet"/>
      </w:pPr>
      <w:r>
        <w:rPr>
          <w:sz w:val="20"/>
        </w:rPr>
        <w:t>Dublettenquote Kunden von 14 % auf &lt; 1 %</w:t>
      </w:r>
    </w:p>
    <w:p>
      <w:pPr>
        <w:pStyle w:val="ListBullet"/>
      </w:pPr>
      <w:r>
        <w:rPr>
          <w:sz w:val="20"/>
        </w:rPr>
        <w:t>Durchlaufzeit Stammdatenanlage von 5 Tagen auf 1 Tag</w:t>
      </w:r>
    </w:p>
    <w:p>
      <w:pPr>
        <w:pStyle w:val="ListBullet"/>
      </w:pPr>
      <w:r>
        <w:rPr>
          <w:sz w:val="20"/>
        </w:rPr>
        <w:t>Vollständigkeit Pflichtfelder 98 %</w:t>
      </w:r>
    </w:p>
    <w:p>
      <w:pPr>
        <w:pStyle w:val="Heading2"/>
      </w:pPr>
      <w:r>
        <w:rPr>
          <w:color w:val="1F3A5F"/>
        </w:rPr>
        <w:t>5. Planned Deliverables</w:t>
      </w:r>
    </w:p>
    <w:p>
      <w:pPr>
        <w:pStyle w:val="ListBullet"/>
      </w:pPr>
      <w:r>
        <w:rPr>
          <w:sz w:val="20"/>
        </w:rPr>
        <w:t>Datenmodell und Governance</w:t>
      </w:r>
    </w:p>
    <w:p>
      <w:pPr>
        <w:pStyle w:val="ListBullet"/>
      </w:pPr>
      <w:r>
        <w:rPr>
          <w:sz w:val="20"/>
        </w:rPr>
        <w:t>Initiale Bereinigung (ca. 410.000 Datensätze)</w:t>
      </w:r>
    </w:p>
    <w:p>
      <w:pPr>
        <w:pStyle w:val="ListBullet"/>
      </w:pPr>
      <w:r>
        <w:rPr>
          <w:sz w:val="20"/>
        </w:rPr>
        <w:t>Workflows und Anbindung ERP/CRM/WMS</w:t>
      </w:r>
    </w:p>
    <w:p>
      <w:pPr>
        <w:pStyle w:val="Heading2"/>
      </w:pPr>
      <w:r>
        <w:rPr>
          <w:color w:val="1F3A5F"/>
        </w:rPr>
        <w:t>6. Finanzübersicht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r/>
            <w:r>
              <w:rPr>
                <w:b/>
                <w:sz w:val="18"/>
              </w:rPr>
              <w:t>Total One-Off</w:t>
            </w:r>
          </w:p>
        </w:tc>
        <w:tc>
          <w:tcPr>
            <w:tcW w:type="dxa" w:w="2493"/>
            <w:shd w:val="clear" w:color="auto" w:fill="E8EEF5"/>
          </w:tcPr>
          <w:p>
            <w:r/>
            <w:r>
              <w:rPr>
                <w:b/>
                <w:sz w:val="18"/>
              </w:rPr>
              <w:t>Avg. Recurrent p.a.</w:t>
            </w:r>
          </w:p>
        </w:tc>
        <w:tc>
          <w:tcPr>
            <w:tcW w:type="dxa" w:w="2493"/>
            <w:shd w:val="clear" w:color="auto" w:fill="E8EEF5"/>
          </w:tcPr>
          <w:p>
            <w:r/>
            <w:r>
              <w:rPr>
                <w:b/>
                <w:sz w:val="18"/>
              </w:rPr>
              <w:t>Already Spent</w:t>
            </w:r>
          </w:p>
        </w:tc>
        <w:tc>
          <w:tcPr>
            <w:tcW w:type="dxa" w:w="2493"/>
            <w:shd w:val="clear" w:color="auto" w:fill="E8EEF5"/>
          </w:tcPr>
          <w:p>
            <w:r/>
            <w:r>
              <w:rPr>
                <w:b/>
                <w:sz w:val="18"/>
              </w:rPr>
              <w:t>Iteration Value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730 T€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230 T€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58 T€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255 T€</w:t>
            </w:r>
          </w:p>
        </w:tc>
      </w:tr>
    </w:tbl>
    <w:p>
      <w:pPr>
        <w:spacing w:after="40"/>
      </w:pPr>
      <w:r>
        <w:rPr>
          <w:b w:val="0"/>
          <w:i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Total costs (alle Jahre)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2.800.000 €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Total benefits (alle Jahre)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3.400.000 €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EBIT (alle Jahre)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600.000 €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Discounted EVA (alle Jahre)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146.143 €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ROI (alle Jahre)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0,21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Payback Period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≈ 77,6 Monate</w:t>
            </w:r>
          </w:p>
        </w:tc>
      </w:tr>
    </w:tbl>
    <w:p>
      <w:pPr>
        <w:spacing w:after="40"/>
      </w:pPr>
      <w:r>
        <w:rPr>
          <w:b w:val="0"/>
          <w:i w:val="0"/>
          <w:sz w:val="20"/>
        </w:rPr>
      </w:r>
    </w:p>
    <w:p>
      <w:pPr>
        <w:spacing w:after="40"/>
      </w:pPr>
      <w:r>
        <w:rPr>
          <w:b/>
          <w:i w:val="0"/>
          <w:sz w:val="20"/>
        </w:rPr>
        <w:t>One-off (Startjahr):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r/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3324"/>
            <w:shd w:val="clear" w:color="auto" w:fill="E8EEF5"/>
          </w:tcPr>
          <w:p>
            <w:r/>
            <w:r>
              <w:rPr>
                <w:b/>
                <w:sz w:val="18"/>
              </w:rPr>
              <w:t>Betrag (€)</w:t>
            </w:r>
          </w:p>
        </w:tc>
        <w:tc>
          <w:tcPr>
            <w:tcW w:type="dxa" w:w="3324"/>
            <w:shd w:val="clear" w:color="auto" w:fill="E8EEF5"/>
          </w:tcPr>
          <w:p>
            <w:r/>
            <w:r>
              <w:rPr>
                <w:b/>
                <w:sz w:val="18"/>
              </w:rPr>
              <w:t>Beschreibung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70 - Project Capitalizable (intern)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190.000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Internal product, process and architecture effort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70 - Project Capitalizable (extern)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280.000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External development / implementation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90 - Software Licenses (intern)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100.000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Software licences / tooling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10 - Project Non Capitalizable (intern)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90.000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Internal rollout, testing and change effort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10 - Project Non Capitalizable (extern)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70.000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External rollout, migration and launch support</w:t>
            </w:r>
          </w:p>
        </w:tc>
      </w:tr>
    </w:tbl>
    <w:p>
      <w:pPr>
        <w:spacing w:after="40"/>
      </w:pPr>
      <w:r>
        <w:rPr>
          <w:b w:val="0"/>
          <w:i w:val="0"/>
          <w:sz w:val="20"/>
        </w:rPr>
      </w:r>
    </w:p>
    <w:p>
      <w:pPr>
        <w:spacing w:after="40"/>
      </w:pPr>
      <w:r>
        <w:rPr>
          <w:b/>
          <w:i w:val="0"/>
          <w:sz w:val="20"/>
        </w:rPr>
        <w:t>Recurrent (ab Go-Live, p.a.):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r/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3324"/>
            <w:shd w:val="clear" w:color="auto" w:fill="E8EEF5"/>
          </w:tcPr>
          <w:p>
            <w:r/>
            <w:r>
              <w:rPr>
                <w:b/>
                <w:sz w:val="18"/>
              </w:rPr>
              <w:t>Betrag (€)</w:t>
            </w:r>
          </w:p>
        </w:tc>
        <w:tc>
          <w:tcPr>
            <w:tcW w:type="dxa" w:w="3324"/>
            <w:shd w:val="clear" w:color="auto" w:fill="E8EEF5"/>
          </w:tcPr>
          <w:p>
            <w:r/>
            <w:r>
              <w:rPr>
                <w:b/>
                <w:sz w:val="18"/>
              </w:rPr>
              <w:t>Beschreibung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30 - Maint. and Support (intern)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80.000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Internal support and application operations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30 - SaaS (extern)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120.000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SaaS / cloud services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30 - Maint. for ext. SW Licenses (extern)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30.000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External maintenance and vendor support</w:t>
            </w:r>
          </w:p>
        </w:tc>
      </w:tr>
    </w:tbl>
    <w:p>
      <w:pPr>
        <w:pStyle w:val="Heading2"/>
      </w:pPr>
      <w:r>
        <w:rPr>
          <w:color w:val="1F3A5F"/>
        </w:rPr>
        <w:t>7. Erwarteter wirtschaftlicher Nutzen</w:t>
      </w:r>
    </w:p>
    <w:p>
      <w:pPr>
        <w:spacing w:after="40"/>
      </w:pPr>
      <w:r>
        <w:rPr>
          <w:b/>
          <w:i w:val="0"/>
          <w:sz w:val="20"/>
        </w:rPr>
        <w:t>Sales Benefits (p.a. ab Vollbetrieb):</w:t>
      </w:r>
    </w:p>
    <w:p>
      <w:pPr>
        <w:pStyle w:val="ListBullet"/>
      </w:pPr>
      <w:r>
        <w:rPr>
          <w:sz w:val="20"/>
        </w:rPr>
        <w:t>90.000 € — Weniger Fehllieferungen und Stornos</w:t>
      </w:r>
    </w:p>
    <w:p>
      <w:pPr>
        <w:spacing w:after="40"/>
      </w:pPr>
      <w:r>
        <w:rPr>
          <w:b/>
          <w:i w:val="0"/>
          <w:sz w:val="20"/>
        </w:rPr>
        <w:t>Cost Savings (p.a. ab Vollbetrieb):</w:t>
      </w:r>
    </w:p>
    <w:p>
      <w:pPr>
        <w:pStyle w:val="ListBullet"/>
      </w:pPr>
      <w:r>
        <w:rPr>
          <w:sz w:val="20"/>
        </w:rPr>
        <w:t>230.000 € — Reduzierter Pflegeaufwand und Klärfälle</w:t>
      </w:r>
    </w:p>
    <w:p>
      <w:pPr>
        <w:pStyle w:val="ListBullet"/>
      </w:pPr>
      <w:r>
        <w:rPr>
          <w:sz w:val="20"/>
        </w:rPr>
        <w:t>80.000 € — Vermiedene Doppelzahlungen und Skontoverluste</w:t>
      </w:r>
    </w:p>
    <w:p>
      <w:pPr>
        <w:spacing w:after="80"/>
      </w:pPr>
      <w:r>
        <w:rPr>
          <w:b w:val="0"/>
          <w:i w:val="0"/>
          <w:sz w:val="20"/>
        </w:rPr>
        <w:t>Nicht-quantitative Nutzen: Datenqualität als Grundlage aller Digitalisierungsprojekte.</w:t>
      </w:r>
    </w:p>
    <w:p>
      <w:pPr>
        <w:pStyle w:val="Heading2"/>
      </w:pPr>
      <w:r>
        <w:rPr>
          <w:color w:val="1F3A5F"/>
        </w:rPr>
        <w:t>8. Fachlicher und organisatorischer Nutzen</w:t>
      </w:r>
    </w:p>
    <w:p>
      <w:pPr>
        <w:spacing w:after="80"/>
      </w:pPr>
      <w:r>
        <w:rPr>
          <w:b w:val="0"/>
          <w:i w:val="0"/>
          <w:sz w:val="20"/>
        </w:rPr>
        <w:t>Stammdatenfehler verursachen Fehllieferungen, Zahlungsverzögerungen und Reporting-Abweichungen. Die ORBIT-Migration ist ohne bereinigte Daten nicht möglich.</w:t>
      </w:r>
    </w:p>
    <w:p>
      <w:pPr>
        <w:pStyle w:val="Heading2"/>
      </w:pPr>
      <w:r>
        <w:rPr>
          <w:color w:val="1F3A5F"/>
        </w:rPr>
        <w:t>9. Betroffene Geschäftsprozesse</w:t>
      </w:r>
    </w:p>
    <w:p>
      <w:pPr>
        <w:spacing w:after="80"/>
      </w:pPr>
      <w:r>
        <w:rPr>
          <w:b w:val="0"/>
          <w:i w:val="0"/>
          <w:sz w:val="20"/>
        </w:rPr>
        <w:t>Stammdatenanlage und -pflege, Order-to-Cash, Procure-to-Pay, Reporting.</w:t>
      </w:r>
    </w:p>
    <w:p>
      <w:pPr>
        <w:pStyle w:val="Heading2"/>
      </w:pPr>
      <w:r>
        <w:rPr>
          <w:color w:val="1F3A5F"/>
        </w:rPr>
        <w:t>10. Betroffene Organisationseinheiten</w:t>
      </w:r>
    </w:p>
    <w:p>
      <w:pPr>
        <w:spacing w:after="80"/>
      </w:pPr>
      <w:r>
        <w:rPr>
          <w:b w:val="0"/>
          <w:i w:val="0"/>
          <w:sz w:val="20"/>
        </w:rPr>
        <w:t>Data &amp; Analytics, Group Finance, Einkauf, Vertrieb Retail, Supply Chain; Data Stewards in allen Sparten.</w:t>
      </w:r>
    </w:p>
    <w:p>
      <w:pPr>
        <w:pStyle w:val="Heading2"/>
      </w:pPr>
      <w:r>
        <w:rPr>
          <w:color w:val="1F3A5F"/>
        </w:rPr>
        <w:t>11. Technische Abhängigkeiten</w:t>
      </w:r>
    </w:p>
    <w:p>
      <w:pPr>
        <w:spacing w:after="80"/>
      </w:pPr>
      <w:r>
        <w:rPr>
          <w:b w:val="0"/>
          <w:i w:val="0"/>
          <w:sz w:val="20"/>
        </w:rPr>
        <w:t>ORBIT-Zeitplan (Migration setzt bereinigte Daten voraus), NEXUS für Verteilung.</w:t>
      </w:r>
    </w:p>
    <w:p>
      <w:pPr>
        <w:pStyle w:val="Heading2"/>
      </w:pPr>
      <w:r>
        <w:rPr>
          <w:color w:val="1F3A5F"/>
        </w:rPr>
        <w:t>12. Organisatorische Abhängigkeiten</w:t>
      </w:r>
    </w:p>
    <w:p>
      <w:pPr>
        <w:spacing w:after="80"/>
      </w:pPr>
      <w:r>
        <w:rPr>
          <w:b w:val="0"/>
          <w:i w:val="0"/>
          <w:sz w:val="20"/>
        </w:rPr>
        <w:t>Benennung von 12 Data Stewards (je 30 % Kapazität); Datenschutz für Kundendaten.</w:t>
      </w:r>
    </w:p>
    <w:p>
      <w:pPr>
        <w:pStyle w:val="Heading2"/>
      </w:pPr>
      <w:r>
        <w:rPr>
          <w:color w:val="1F3A5F"/>
        </w:rPr>
        <w:t>13. Risikoanalyse</w:t>
      </w:r>
    </w:p>
    <w:p>
      <w:pPr>
        <w:pStyle w:val="ListBullet"/>
      </w:pPr>
      <w:r>
        <w:rPr>
          <w:sz w:val="20"/>
        </w:rPr>
        <w:t>Bereinigung dauert länger als geplant</w:t>
      </w:r>
    </w:p>
    <w:p>
      <w:pPr>
        <w:pStyle w:val="ListBullet"/>
      </w:pPr>
      <w:r>
        <w:rPr>
          <w:sz w:val="20"/>
        </w:rPr>
        <w:t>Fachbereiche akzeptieren zentrale Freigabe nicht</w:t>
      </w:r>
    </w:p>
    <w:p>
      <w:pPr>
        <w:pStyle w:val="ListBullet"/>
      </w:pPr>
      <w:r>
        <w:rPr>
          <w:sz w:val="20"/>
        </w:rPr>
        <w:t>Kritischer Pfad für ORBIT</w:t>
      </w:r>
    </w:p>
    <w:p>
      <w:pPr>
        <w:pStyle w:val="Heading2"/>
      </w:pPr>
      <w:r>
        <w:rPr>
          <w:color w:val="1F3A5F"/>
        </w:rPr>
        <w:t>14. Anbieter-, Produkt- und Projektinformationen</w:t>
      </w:r>
    </w:p>
    <w:p>
      <w:pPr>
        <w:spacing w:after="80"/>
      </w:pPr>
      <w:r>
        <w:rPr>
          <w:b w:val="0"/>
          <w:i w:val="0"/>
          <w:sz w:val="20"/>
        </w:rPr>
        <w:t>SAP Master Data Governance (bevorzugt) oder Informatica MDM.</w:t>
      </w:r>
    </w:p>
    <w:p>
      <w:pPr>
        <w:pStyle w:val="Heading2"/>
      </w:pPr>
      <w:r>
        <w:rPr>
          <w:color w:val="1F3A5F"/>
        </w:rPr>
        <w:t>15. Freigaben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Sponsor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Nadine Öztürk (Head of Data &amp; Analytics)  ____________________  Datum: ________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IT Portfolio Board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____________________  Datum: ________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Controlling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____________________  Datum: 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88888"/>
        <w:sz w:val="14"/>
      </w:rPr>
      <w:t>VELTRAX Group SE – IT Portfolio Management – BC-2026-0615.1 – Fiktives Beispiel für Testzwecke, alle Namen und Zahlen erfunden.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