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Conversation Intelligence Copilot</w:t>
      </w:r>
    </w:p>
    <w:p>
      <w:r>
        <w:t>Conversation Analysis Bot for Contact Centre Insights — submission report · 22 October 2026</w:t>
      </w:r>
    </w:p>
    <w:p>
      <w:pPr>
        <w:pStyle w:val="Heading1"/>
      </w:pPr>
      <w:r>
        <w:rPr>
          <w:color w:val="1E1B4B"/>
        </w:rPr>
        <w:t>1. Problem framing</w:t>
      </w:r>
    </w:p>
    <w:p>
      <w:r>
        <w:t>Contact-centre analysts and leaders need answers they can act on and defend: which issues drive negative sentiment, where communication could improve, how a conversation unfolded, and what to review first. The prototype turns a natural-language question into a coordinated, verifiable analysis: a LangGraph supervisor routes the question to specialist agents that run deterministic analytics, retrieve source evidence, explain the result, choose charts, and pass quality and governance checks before anything is shown.</w:t>
      </w:r>
    </w:p>
    <w:p>
      <w:pPr>
        <w:pStyle w:val="Heading1"/>
      </w:pPr>
      <w:r>
        <w:rPr>
          <w:color w:val="1E1B4B"/>
        </w:rPr>
        <w:t>2. Dataset and preparation</w:t>
      </w:r>
    </w:p>
    <w:p>
      <w:r>
        <w:t>Syncora.ai customer-support sample (Kaggle): 3,000 conversations, 41,965 messages, 2025-08-01 to 2025-12-02. Preparation (scripted, idempotent): schema discovery and explicit column mapping; removal of the random lowercase filler that ends every message (raw text kept); PII masking and customer pseudonymisation; 17 data-quality checks; a versioned taxonomy mapping the opening message to one of 8 issue topics and 51 products (domains inferred); message and conversation sentiment; empathy and resolution-fit signals; DuckDB tables and manifests.</w:t>
      </w:r>
    </w:p>
    <w:p>
      <w:pPr>
        <w:pStyle w:val="ListBullet"/>
      </w:pPr>
      <w:r>
        <w:t>Timestamps are not in turn order in any of the 3,000 conversations: turn index is authoritative; conversations are dated by their earliest message.</w:t>
      </w:r>
    </w:p>
    <w:p>
      <w:pPr>
        <w:pStyle w:val="ListBullet"/>
      </w:pPr>
      <w:r>
        <w:t>2,987 agent IDs for 3,000 conversations (max 2 each): per-agent rankings would be unreliable, so coaching analysis is sample-size gated.</w:t>
      </w:r>
    </w:p>
    <w:p>
      <w:pPr>
        <w:pStyle w:val="ListBullet"/>
      </w:pPr>
      <w:r>
        <w:t>Messages are templated (426 unique texts); customer follow-ups and agents' closing actions are largely independent of the issue — reported, not hidden.</w:t>
      </w:r>
    </w:p>
    <w:p>
      <w:pPr>
        <w:pStyle w:val="Heading1"/>
      </w:pPr>
      <w:r>
        <w:rPr>
          <w:color w:val="1E1B4B"/>
        </w:rPr>
        <w:t>3. Architecture and agent flow</w:t>
      </w:r>
    </w:p>
    <w:p>
      <w:r>
        <w:drawing>
          <wp:inline xmlns:a="http://schemas.openxmlformats.org/drawingml/2006/main" xmlns:pic="http://schemas.openxmlformats.org/drawingml/2006/picture">
            <wp:extent cx="6120000" cy="25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Input validation → session memory → intent (Gemini structured output, or a deterministic parser) → supervisor/planner (resolves follow-up references and the date window; picks registered operations, one specialist and a retrieval mode) → topic / sentiment / coaching / leadership / analytics agent, in parallel with retrieval when the query is known, or after it when the query depends on the result → evidence assembly → explanation (Gemini, rejected if it contains any number not in the verified results) → visualisation planner → QA agent → governance agent → response → memory and telemetry. Each request is checkpointed; each node emits real start/finish events that the UI and the Agent Harness show.</w:t>
      </w:r>
    </w:p>
    <w:p>
      <w:pPr>
        <w:pStyle w:val="Heading1"/>
      </w:pPr>
      <w:r>
        <w:rPr>
          <w:color w:val="1E1B4B"/>
        </w:rPr>
        <w:t>4. Model and tool choices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Component</w:t>
            </w:r>
          </w:p>
        </w:tc>
        <w:tc>
          <w:tcPr>
            <w:tcW w:type="dxa" w:w="4986"/>
          </w:tcPr>
          <w:p>
            <w:r>
              <w:t>Role</w:t>
            </w:r>
          </w:p>
        </w:tc>
      </w:tr>
      <w:tr>
        <w:tc>
          <w:tcPr>
            <w:tcW w:type="dxa" w:w="4986"/>
          </w:tcPr>
          <w:p>
            <w:r>
              <w:t>Gemini Flash (google-genai)</w:t>
            </w:r>
          </w:p>
        </w:tc>
        <w:tc>
          <w:tcPr>
            <w:tcW w:type="dxa" w:w="4986"/>
          </w:tcPr>
          <w:p>
            <w:r>
              <w:t>Intent, grounded explanation, batch classification; structured JSON with closed enums; rate-limited, retried, cached, circuit-broken; tokens and cost recorded.</w:t>
            </w:r>
          </w:p>
        </w:tc>
      </w:tr>
      <w:tr>
        <w:tc>
          <w:tcPr>
            <w:tcW w:type="dxa" w:w="4986"/>
          </w:tcPr>
          <w:p>
            <w:r>
              <w:t>LangGraph</w:t>
            </w:r>
          </w:p>
        </w:tc>
        <w:tc>
          <w:tcPr>
            <w:tcW w:type="dxa" w:w="4986"/>
          </w:tcPr>
          <w:p>
            <w:r>
              <w:t>Explicit, testable routing, parallel branches, checkpointing, observable nodes.</w:t>
            </w:r>
          </w:p>
        </w:tc>
      </w:tr>
      <w:tr>
        <w:tc>
          <w:tcPr>
            <w:tcW w:type="dxa" w:w="4986"/>
          </w:tcPr>
          <w:p>
            <w:r>
              <w:t>DuckDB</w:t>
            </w:r>
          </w:p>
        </w:tc>
        <w:tc>
          <w:tcPr>
            <w:tcW w:type="dxa" w:w="4986"/>
          </w:tcPr>
          <w:p>
            <w:r>
              <w:t>All numbers: registered, parameterised operations; Wilson intervals, chi-square and z-tests for uncertainty.</w:t>
            </w:r>
          </w:p>
        </w:tc>
      </w:tr>
      <w:tr>
        <w:tc>
          <w:tcPr>
            <w:tcW w:type="dxa" w:w="4986"/>
          </w:tcPr>
          <w:p>
            <w:r>
              <w:t>FAISS + embeddings</w:t>
            </w:r>
          </w:p>
        </w:tc>
        <w:tc>
          <w:tcPr>
            <w:tcW w:type="dxa" w:w="4986"/>
          </w:tcPr>
          <w:p>
            <w:r>
              <w:t>Exact cosine search with metadata filters; MiniLM preferred, local LSA fallback.</w:t>
            </w:r>
          </w:p>
        </w:tc>
      </w:tr>
      <w:tr>
        <w:tc>
          <w:tcPr>
            <w:tcW w:type="dxa" w:w="4986"/>
          </w:tcPr>
          <w:p>
            <w:r>
              <w:t>SQLite</w:t>
            </w:r>
          </w:p>
        </w:tc>
        <w:tc>
          <w:tcPr>
            <w:tcW w:type="dxa" w:w="4986"/>
          </w:tcPr>
          <w:p>
            <w:r>
              <w:t>Session memory, checkpoints, telemetry, audit, human review.</w:t>
            </w:r>
          </w:p>
        </w:tc>
      </w:tr>
      <w:tr>
        <w:tc>
          <w:tcPr>
            <w:tcW w:type="dxa" w:w="4986"/>
          </w:tcPr>
          <w:p>
            <w:r>
              <w:t>React · Recharts · React Flow</w:t>
            </w:r>
          </w:p>
        </w:tc>
        <w:tc>
          <w:tcPr>
            <w:tcW w:type="dxa" w:w="4986"/>
          </w:tcPr>
          <w:p>
            <w:r>
              <w:t>Chat-first workspace, validated declarative charts, live agent graph.</w:t>
            </w:r>
          </w:p>
        </w:tc>
      </w:tr>
    </w:tbl>
    <w:p/>
    <w:p>
      <w:pPr>
        <w:pStyle w:val="Heading1"/>
      </w:pPr>
      <w:r>
        <w:rPr>
          <w:color w:val="1E1B4B"/>
        </w:rPr>
        <w:t>5. The four analytical demonstrations</w:t>
      </w:r>
    </w:p>
    <w:p>
      <w:r>
        <w:t>Q1 — Negative topics, November 2025 (latest month in the data): 239 of 682 conversations negative. Top five by count: General help request (49), Duplicate charge (42), Paid but service not delivered (30), Feature not working (28), Login / account locked (24). By rate, Duplicate charge leads; the chi-square p-value (0.0566) shows the differences are not significant at 5%, and the answer says so.</w:t>
      </w:r>
    </w:p>
    <w:p>
      <w:r>
        <w:drawing>
          <wp:inline xmlns:a="http://schemas.openxmlformats.org/drawingml/2006/main" xmlns:pic="http://schemas.openxmlformats.org/drawingml/2006/picture">
            <wp:extent cx="6120000" cy="220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negative_top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Q2 — Coaching: no agent has ≥ 3 conversations, so the answer ranks conversations for a team-lead review instead of people, with evidence. Workforce-wide, 3,215 of 10,966 negative customer turns (29.3%) were followed by an acknowledgement or apology, and 57.3% of assessable closing actions did not fit the issue. Output is flagged for human review; personnel-decision questions are refused.</w:t>
      </w:r>
    </w:p>
    <w:p>
      <w:r>
        <w:t>Q3 — Trajectory: per-turn customer sentiment in turn order, turning points with the agent turn that preceded them, and the annotated transcript.</w:t>
      </w:r>
    </w:p>
    <w:p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Q4 — Leadership: a documented priority score (volume, negative rate, escalation requests, unresolved endings, resolution misfit, trend). First: Item or service not received (score 67.1); each recommendation names a finding, driver, action, owner, evidence and uncertainty. Sensitivity: Sensitivity: the #1 concern stays #1 in 92% of 13 weight scenarios; mean top-5 overlap 94%.</w:t>
      </w:r>
    </w:p>
    <w:p>
      <w:r>
        <w:drawing>
          <wp:inline xmlns:a="http://schemas.openxmlformats.org/drawingml/2006/main" xmlns:pic="http://schemas.openxmlformats.org/drawingml/2006/picture">
            <wp:extent cx="6120000" cy="220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E1B4B"/>
        </w:rPr>
        <w:t>6. Bonus extensions</w:t>
      </w:r>
    </w:p>
    <w:p>
      <w:pPr>
        <w:pStyle w:val="ListBullet"/>
      </w:pPr>
      <w:r>
        <w:t>Knowledge retrieval: conversation-aware chunks (4 turns, overlap 2), FAISS with metadata filters, one passage per conversation, evidence with message IDs and CSV lines. On 36 paraphrased queries: topic precision@5 61.7% vs 12.5% random with sentence-transformers/all-MiniLM-L6-v2 (36.7% with the LSA fallback used when the model is unavailable).</w:t>
      </w:r>
    </w:p>
    <w:p>
      <w:pPr>
        <w:pStyle w:val="ListBullet"/>
      </w:pPr>
      <w:r>
        <w:t>Specialised LLM agent: Gemini classification of unique masked texts (sentiment, act, empathy, resolution, topic, product) in bounded, resumable batches with a content-hash cache and honest coverage reporting; scripted-SDK tested; not run live (credential blocked).</w:t>
      </w:r>
    </w:p>
    <w:p>
      <w:pPr>
        <w:pStyle w:val="ListBullet"/>
      </w:pPr>
      <w:r>
        <w:t>Memory: session store of resolved intent, scope, plan and deterministic references; follow-ups such as 'compare the top two', 'previous month', 'the first one', 'why ranked first', 'which findings are uncertain'. Follow-up routing on the evaluation sessions: 100%.</w:t>
      </w:r>
    </w:p>
    <w:p>
      <w:pPr>
        <w:pStyle w:val="Heading1"/>
      </w:pPr>
      <w:r>
        <w:rPr>
          <w:color w:val="1E1B4B"/>
        </w:rPr>
        <w:t>7.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Measure</w:t>
            </w:r>
          </w:p>
        </w:tc>
        <w:tc>
          <w:tcPr>
            <w:tcW w:type="dxa" w:w="4986"/>
          </w:tcPr>
          <w:p>
            <w:r>
              <w:t>Result</w:t>
            </w:r>
          </w:p>
        </w:tc>
      </w:tr>
      <w:tr>
        <w:tc>
          <w:tcPr>
            <w:tcW w:type="dxa" w:w="4986"/>
          </w:tcPr>
          <w:p>
            <w:r>
              <w:t>Q1 vs independent oracle</w:t>
            </w:r>
          </w:p>
        </w:tc>
        <w:tc>
          <w:tcPr>
            <w:tcW w:type="dxa" w:w="4986"/>
          </w:tcPr>
          <w:p>
            <w:r>
              <w:t>exact match</w:t>
            </w:r>
          </w:p>
        </w:tc>
      </w:tr>
      <w:tr>
        <w:tc>
          <w:tcPr>
            <w:tcW w:type="dxa" w:w="4986"/>
          </w:tcPr>
          <w:p>
            <w:r>
              <w:t>End-to-end QA pass rate</w:t>
            </w:r>
          </w:p>
        </w:tc>
        <w:tc>
          <w:tcPr>
            <w:tcW w:type="dxa" w:w="4986"/>
          </w:tcPr>
          <w:p>
            <w:r>
              <w:t>100% of 51 requests</w:t>
            </w:r>
          </w:p>
        </w:tc>
      </w:tr>
      <w:tr>
        <w:tc>
          <w:tcPr>
            <w:tcW w:type="dxa" w:w="4986"/>
          </w:tcPr>
          <w:p>
            <w:r>
              <w:t>Unsupported questions refused</w:t>
            </w:r>
          </w:p>
        </w:tc>
        <w:tc>
          <w:tcPr>
            <w:tcW w:type="dxa" w:w="4986"/>
          </w:tcPr>
          <w:p>
            <w:r>
              <w:t>6/6</w:t>
            </w:r>
          </w:p>
        </w:tc>
      </w:tr>
      <w:tr>
        <w:tc>
          <w:tcPr>
            <w:tcW w:type="dxa" w:w="4986"/>
          </w:tcPr>
          <w:p>
            <w:r>
              <w:t>Intent (rules fallback)</w:t>
            </w:r>
          </w:p>
        </w:tc>
        <w:tc>
          <w:tcPr>
            <w:tcW w:type="dxa" w:w="4986"/>
          </w:tcPr>
          <w:p>
            <w:r>
              <w:t>100% tuning set; 50% held-out</w:t>
            </w:r>
          </w:p>
        </w:tc>
      </w:tr>
      <w:tr>
        <w:tc>
          <w:tcPr>
            <w:tcW w:type="dxa" w:w="4986"/>
          </w:tcPr>
          <w:p>
            <w:r>
              <w:t>Retrieval topic P@5</w:t>
            </w:r>
          </w:p>
        </w:tc>
        <w:tc>
          <w:tcPr>
            <w:tcW w:type="dxa" w:w="4986"/>
          </w:tcPr>
          <w:p>
            <w:r>
              <w:t>61.7%</w:t>
            </w:r>
          </w:p>
        </w:tc>
      </w:tr>
      <w:tr>
        <w:tc>
          <w:tcPr>
            <w:tcW w:type="dxa" w:w="4986"/>
          </w:tcPr>
          <w:p>
            <w:r>
              <w:t>Latency p50 / p95</w:t>
            </w:r>
          </w:p>
        </w:tc>
        <w:tc>
          <w:tcPr>
            <w:tcW w:type="dxa" w:w="4986"/>
          </w:tcPr>
          <w:p>
            <w:r>
              <w:t>167 / 776 ms</w:t>
            </w:r>
          </w:p>
        </w:tc>
      </w:tr>
      <w:tr>
        <w:tc>
          <w:tcPr>
            <w:tcW w:type="dxa" w:w="4986"/>
          </w:tcPr>
          <w:p>
            <w:r>
              <w:t>Automated tests</w:t>
            </w:r>
          </w:p>
        </w:tc>
        <w:tc>
          <w:tcPr>
            <w:tcW w:type="dxa" w:w="4986"/>
          </w:tcPr>
          <w:p>
            <w:r>
              <w:t>97 backend · 8 Vitest · 10 Playwright — passing</w:t>
            </w:r>
          </w:p>
        </w:tc>
      </w:tr>
    </w:tbl>
    <w:p/>
    <w:p>
      <w:r>
        <w:t>Gemini could not be evaluated live: the development environment's credential returned 401 API_KEY_SERVICE_BLOCKED. All results above are for the deterministic path.</w:t>
      </w:r>
    </w:p>
    <w:p>
      <w:pPr>
        <w:pStyle w:val="Heading1"/>
      </w:pPr>
      <w:r>
        <w:rPr>
          <w:color w:val="1E1B4B"/>
        </w:rPr>
        <w:t>8. Limitations</w:t>
      </w:r>
    </w:p>
    <w:p>
      <w:pPr>
        <w:pStyle w:val="ListBullet"/>
      </w:pPr>
      <w:r>
        <w:t>Live Gemini behaviour (intent, explanations, labels, latency, tokens) is unmeasured.</w:t>
      </w:r>
    </w:p>
    <w:p>
      <w:pPr>
        <w:pStyle w:val="ListBullet"/>
      </w:pPr>
      <w:r>
        <w:t>Sentiment/empathy mappings are developer judgements; human-agreement metrics await labels from the in-app blind review.</w:t>
      </w:r>
    </w:p>
    <w:p>
      <w:pPr>
        <w:pStyle w:val="ListBullet"/>
      </w:pPr>
      <w:r>
        <w:t>The deterministic intent parser is brittle on paraphrases (held-out accuracy above), though most misses fail safe.</w:t>
      </w:r>
    </w:p>
    <w:p>
      <w:pPr>
        <w:pStyle w:val="ListBullet"/>
      </w:pPr>
      <w:r>
        <w:t>Retrieval still misses some paraphrases (generic help and paid-but-not-delivered queries regressed with MiniLM); the LSA fallback is much weaker.</w:t>
      </w:r>
    </w:p>
    <w:p>
      <w:pPr>
        <w:pStyle w:val="ListBullet"/>
      </w:pPr>
      <w:r>
        <w:t>Synthetic, templated data: most topic differences are not significant; no cost, churn, CSAT or handle-time data.</w:t>
      </w:r>
    </w:p>
    <w:p>
      <w:pPr>
        <w:pStyle w:val="ListBullet"/>
      </w:pPr>
      <w:r>
        <w:t>No authentication/RBAC; single-node storage; Docker images not built in the sandbox (registry rate limits).</w:t>
      </w:r>
    </w:p>
    <w:p>
      <w:pPr>
        <w:pStyle w:val="Heading1"/>
      </w:pPr>
      <w:r>
        <w:rPr>
          <w:color w:val="1E1B4B"/>
        </w:rPr>
        <w:t>9. Next improvements</w:t>
      </w:r>
    </w:p>
    <w:p>
      <w:pPr>
        <w:pStyle w:val="ListBullet"/>
      </w:pPr>
      <w:r>
        <w:t>Enable Gemini; run labelling and the intent/explanation evaluation live; compare with rules and human labels.</w:t>
      </w:r>
    </w:p>
    <w:p>
      <w:pPr>
        <w:pStyle w:val="ListBullet"/>
      </w:pPr>
      <w:r>
        <w:t>Pretrained or Gemini embeddings with hybrid BM25 + vector search; re-run the retrieval benchmark.</w:t>
      </w:r>
    </w:p>
    <w:p>
      <w:pPr>
        <w:pStyle w:val="ListBullet"/>
      </w:pPr>
      <w:r>
        <w:t>Collect a few hundred human labels for calibrated sentiment/empathy evaluation.</w:t>
      </w:r>
    </w:p>
    <w:p>
      <w:pPr>
        <w:pStyle w:val="ListBullet"/>
      </w:pPr>
      <w:r>
        <w:t>SSO/RBAC, managed storage, OpenTelemetry/LangSmith, CI evaluation gates.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