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Conversation Intelligence Copilot</w:t>
      </w:r>
    </w:p>
    <w:p>
      <w:r>
        <w:t>Conversation Analysis Bot for Contact Centre Insights — submission report · 23 October 2026</w:t>
      </w:r>
    </w:p>
    <w:p>
      <w:pPr>
        <w:pStyle w:val="Heading1"/>
      </w:pPr>
      <w:r>
        <w:rPr>
          <w:color w:val="1E1B4B"/>
        </w:rPr>
        <w:t>1. Problem framing</w:t>
      </w:r>
    </w:p>
    <w:p>
      <w:r>
        <w:t>Contact-centre analysts and leaders need answers they can act on and defend: which issues drive negative sentiment, where communication could improve, how a conversation unfolded, and what to review first. The prototype turns a natural-language question into a coordinated, verifiable analysis: a LangGraph supervisor routes the question to specialist agents that run deterministic analytics, retrieve source evidence, explain the result, choose charts, and pass quality and governance checks before anything is shown.</w:t>
      </w:r>
    </w:p>
    <w:p>
      <w:pPr>
        <w:pStyle w:val="Heading1"/>
      </w:pPr>
      <w:r>
        <w:rPr>
          <w:color w:val="1E1B4B"/>
        </w:rPr>
        <w:t>2. Dataset and preparation</w:t>
      </w:r>
    </w:p>
    <w:p>
      <w:r>
        <w:t>Syncora.ai customer-support sample (Kaggle): 3,000 conversations, 41,965 messages, 2025-08-01 to 2025-12-02. Preparation (scripted, idempotent): schema discovery and explicit column mapping; removal of the random lowercase filler that ends every message (raw text kept); PII masking and customer pseudonymisation; 17 data-quality checks; a versioned taxonomy mapping the opening message to one of 8 issue topics and 51 products (domains inferred); message and conversation sentiment; empathy and resolution-fit signals; DuckDB tables and manifests.</w:t>
      </w:r>
    </w:p>
    <w:p>
      <w:pPr>
        <w:pStyle w:val="ListBullet"/>
      </w:pPr>
      <w:r>
        <w:t>Timestamps are not in turn order in any of the 3,000 conversations: turn index is authoritative; conversations are dated by their earliest message.</w:t>
      </w:r>
    </w:p>
    <w:p>
      <w:pPr>
        <w:pStyle w:val="ListBullet"/>
      </w:pPr>
      <w:r>
        <w:t>2,987 agent IDs for 3,000 conversations (max 2 each): per-agent rankings would be unreliable, so coaching analysis is sample-size gated.</w:t>
      </w:r>
    </w:p>
    <w:p>
      <w:pPr>
        <w:pStyle w:val="ListBullet"/>
      </w:pPr>
      <w:r>
        <w:t>Messages are templated (426 unique texts); customer follow-ups and agents' closing actions are largely independent of the issue — reported, not hidden.</w:t>
      </w:r>
    </w:p>
    <w:p>
      <w:pPr>
        <w:pStyle w:val="ListBullet"/>
      </w:pPr>
      <w:r>
        <w:t>Derived rules: a conversation is negative when its customer messages average -0.25 or lower (exact arithmetic at the boundary); leadership priority = 0.30 volume + 0.25 negative rate + 0.15 escalation + 0.15 unresolved + 0.10 resolution misfit + 0.05 trend (min-max scaled).</w:t>
      </w:r>
    </w:p>
    <w:p>
      <w:pPr>
        <w:pStyle w:val="ListBullet"/>
      </w:pPr>
      <w:r>
        <w:t>No data was appended. A separate set of 120 generated demo conversations (scripts/generate_synthetic.py, IDs 'S…') exists only for testing the combined mode; it is excluded from the default build and from every reported figure.</w:t>
      </w:r>
    </w:p>
    <w:p>
      <w:pPr>
        <w:pStyle w:val="Heading1"/>
      </w:pPr>
      <w:r>
        <w:rPr>
          <w:color w:val="1E1B4B"/>
        </w:rPr>
        <w:t>3. Architecture and agent flow</w:t>
      </w:r>
    </w:p>
    <w:p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validation → session memory → Zero-LLM router (decides whether a model is needed at all: fact questions, including all four assignment questions, are answered with no model call) → intent (policy rules → high-precision rules → calibrated semantic match → the model, category only, constrained JSON → clarify) → supervisor/planner (resolves follow-up references and the date window; picks registered operations, one specialist and a retrieval mode) → topic / sentiment / coaching / leadership / analytics agent, in parallel with retrieval or after it → evidence assembly → explanation (deterministic, or the model, rejected if it contains any number not in the verified results) → visualisation → QA agent with the Evidence Challenger (quotes re-read from the database, causal wording qualified) → governance → response → memory and telemetry. Agents exchange a typed state; results use one versioned schema (AnalysisResult, ChatResponse). Each request is checkpointed, and each node emits real start/finish events shown in the UI, the Agent Harness and AI Decision Replay.</w:t>
      </w:r>
    </w:p>
    <w:p>
      <w:pPr>
        <w:pStyle w:val="Heading1"/>
      </w:pPr>
      <w:r>
        <w:rPr>
          <w:color w:val="1E1B4B"/>
        </w:rPr>
        <w:t>4. Model and tool choices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Component</w:t>
            </w:r>
          </w:p>
        </w:tc>
        <w:tc>
          <w:tcPr>
            <w:tcW w:type="dxa" w:w="4986"/>
          </w:tcPr>
          <w:p>
            <w:r>
              <w:t>Role</w:t>
            </w:r>
          </w:p>
        </w:tc>
      </w:tr>
      <w:tr>
        <w:tc>
          <w:tcPr>
            <w:tcW w:type="dxa" w:w="4986"/>
          </w:tcPr>
          <w:p>
            <w:r>
              <w:t>Optional LLM: local Qwen2.5-1.5B (llama.cpp, no key), Groq, or Gemini</w:t>
            </w:r>
          </w:p>
        </w:tc>
        <w:tc>
          <w:tcPr>
            <w:tcW w:type="dxa" w:w="4986"/>
          </w:tcPr>
          <w:p>
            <w:r>
              <w:t>Used only when needed: category-only intent classification when rules are unsure, grounded explanation for interpretive questions, optional batch labelling (Gemini). One client interface: constrained JSON, cache, one repair, rate limit, retries, circuit breaker; tokens recorded (unknown, never zero). No key is needed to run the app.</w:t>
            </w:r>
          </w:p>
        </w:tc>
      </w:tr>
      <w:tr>
        <w:tc>
          <w:tcPr>
            <w:tcW w:type="dxa" w:w="4986"/>
          </w:tcPr>
          <w:p>
            <w:r>
              <w:t>LangGraph</w:t>
            </w:r>
          </w:p>
        </w:tc>
        <w:tc>
          <w:tcPr>
            <w:tcW w:type="dxa" w:w="4986"/>
          </w:tcPr>
          <w:p>
            <w:r>
              <w:t>Explicit, testable routing, parallel branches, checkpointing, observable nodes.</w:t>
            </w:r>
          </w:p>
        </w:tc>
      </w:tr>
      <w:tr>
        <w:tc>
          <w:tcPr>
            <w:tcW w:type="dxa" w:w="4986"/>
          </w:tcPr>
          <w:p>
            <w:r>
              <w:t>DuckDB</w:t>
            </w:r>
          </w:p>
        </w:tc>
        <w:tc>
          <w:tcPr>
            <w:tcW w:type="dxa" w:w="4986"/>
          </w:tcPr>
          <w:p>
            <w:r>
              <w:t>All numbers: registered, parameterised operations; Wilson intervals, chi-square and z-tests for uncertainty.</w:t>
            </w:r>
          </w:p>
        </w:tc>
      </w:tr>
      <w:tr>
        <w:tc>
          <w:tcPr>
            <w:tcW w:type="dxa" w:w="4986"/>
          </w:tcPr>
          <w:p>
            <w:r>
              <w:t>FAISS + MiniLM + LSA</w:t>
            </w:r>
          </w:p>
        </w:tc>
        <w:tc>
          <w:tcPr>
            <w:tcW w:type="dxa" w:w="4986"/>
          </w:tcPr>
          <w:p>
            <w:r>
              <w:t>Two exact-cosine indexes with metadata filters, fused by weighted reciprocal rank fusion (hybrid search).</w:t>
            </w:r>
          </w:p>
        </w:tc>
      </w:tr>
      <w:tr>
        <w:tc>
          <w:tcPr>
            <w:tcW w:type="dxa" w:w="4986"/>
          </w:tcPr>
          <w:p>
            <w:r>
              <w:t>SQLite</w:t>
            </w:r>
          </w:p>
        </w:tc>
        <w:tc>
          <w:tcPr>
            <w:tcW w:type="dxa" w:w="4986"/>
          </w:tcPr>
          <w:p>
            <w:r>
              <w:t>Session memory, checkpoints, telemetry, audit, human review.</w:t>
            </w:r>
          </w:p>
        </w:tc>
      </w:tr>
      <w:tr>
        <w:tc>
          <w:tcPr>
            <w:tcW w:type="dxa" w:w="4986"/>
          </w:tcPr>
          <w:p>
            <w:r>
              <w:t>React · Recharts · React Flow</w:t>
            </w:r>
          </w:p>
        </w:tc>
        <w:tc>
          <w:tcPr>
            <w:tcW w:type="dxa" w:w="4986"/>
          </w:tcPr>
          <w:p>
            <w:r>
              <w:t>Chat-first workspace, validated declarative charts, live agent graph.</w:t>
            </w:r>
          </w:p>
        </w:tc>
      </w:tr>
    </w:tbl>
    <w:p/>
    <w:p>
      <w:pPr>
        <w:pStyle w:val="Heading1"/>
      </w:pPr>
      <w:r>
        <w:rPr>
          <w:color w:val="1E1B4B"/>
        </w:rPr>
        <w:t>5. The four analytical demonstrations</w:t>
      </w:r>
    </w:p>
    <w:p>
      <w:r>
        <w:t>Q1 — Negative topics, November 2025 (latest month in the data): 240 of 682 conversations negative. Top five by count: General help request (49), Duplicate charge (42), Paid but service not delivered (30), Feature not working (28), Login / account locked (24). Rank 5 is a tie: Login / account locked (24 of 58), Coupon not applying (24 of 84) share the same count. The tie-breaker (higher negative rate) lists Login / account locked; the others are equally entitled to the last place. By rate, Duplicate charge leads; the chi-square p-value (0.0707) shows the differences are not significant at 5%, and the answer says so.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negative_top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Q2 — Coaching: no agent has ≥ 3 conversations, so the answer ranks conversations for a team-lead review instead of people, with evidence. Workforce-wide, 3,215 of 10,966 negative customer turns (29.3%) were followed by an acknowledgement or apology, and 57.3% of assessable closing actions did not fit the issue. Output is flagged for human review; personnel-decision questions are refused.</w:t>
      </w:r>
    </w:p>
    <w:p>
      <w:r>
        <w:t>Q3 — Trajectory: per-turn customer sentiment in turn order, turning points with the agent turn that preceded them, and the annotated transcript.</w:t>
      </w:r>
    </w:p>
    <w:p>
      <w:r>
        <w:drawing>
          <wp:inline xmlns:a="http://schemas.openxmlformats.org/drawingml/2006/main" xmlns:pic="http://schemas.openxmlformats.org/drawingml/2006/picture">
            <wp:extent cx="432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Q4 — Leadership: a documented priority score (volume, negative rate, escalation requests, unresolved endings, resolution misfit, trend). First: Item or service not received (score 67.1); each recommendation names a finding, driver, action, owner, evidence and uncertainty. Sensitivity: the #1 concern stays #1 in 92% of 13 weight scenarios; mean top-5 overlap 94%.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E1B4B"/>
        </w:rPr>
        <w:t>6. Bonus extensions</w:t>
      </w:r>
    </w:p>
    <w:p>
      <w:r>
        <w:rPr>
          <w:b/>
        </w:rPr>
        <w:t>Knowledge retrieval:</w:t>
      </w:r>
    </w:p>
    <w:p>
      <w:pPr>
        <w:pStyle w:val="ListBullet2"/>
      </w:pPr>
      <w:r>
        <w:t>Indexing: 4-turn chunks (overlap 2) from the 3,000 conversations, embedded twice (MiniLM 384-d semantic, LSA 192-d lexical) in FAISS with metadata filters.</w:t>
      </w:r>
    </w:p>
    <w:p>
      <w:pPr>
        <w:pStyle w:val="ListBullet2"/>
      </w:pPr>
      <w:r>
        <w:t>Triggers: similar-case questions; coaching evidence (in parallel); examples for the top leadership or negative-topic result (after the analysis, filtered to it).</w:t>
      </w:r>
    </w:p>
    <w:p>
      <w:pPr>
        <w:pStyle w:val="ListBullet2"/>
      </w:pPr>
      <w:r>
        <w:t>Evidence: one passage per conversation with message IDs, turn range, CSV line references and each method's rank.</w:t>
      </w:r>
    </w:p>
    <w:p>
      <w:pPr>
        <w:pStyle w:val="ListBullet2"/>
      </w:pPr>
      <w:r>
        <w:t>How it improves answers: it attaches real, on-topic transcripts to the computed result, and answers similar-case questions that analytics cannot. Retrieval never produces numbers. Answer quality with and without retrieval was not measured.</w:t>
      </w:r>
    </w:p>
    <w:p>
      <w:pPr>
        <w:pStyle w:val="ListBullet2"/>
      </w:pPr>
      <w:r>
        <w:t>Evaluation (36 paraphrased queries): topic precision@5 62.8% hybrid vs 62.2% MiniLM, 28.9% LSA, 12.5% random; hit@5 86.1%. The fusion weight was tuned on the same queries.</w:t>
      </w:r>
    </w:p>
    <w:p>
      <w:r>
        <w:rPr>
          <w:b/>
        </w:rPr>
        <w:t>Specialised LLM agent (intent classification):</w:t>
      </w:r>
    </w:p>
    <w:p>
      <w:pPr>
        <w:pStyle w:val="ListBullet2"/>
      </w:pPr>
      <w:r>
        <w:t>What it is: a local Qwen2.5-1.5B-Instruct model (llama.cpp, free, CPU) used as a constrained classifier. It returns one intent category from a closed list (JSON-schema grammar), with definitions and 15 hard examples in the prompt.</w:t>
      </w:r>
    </w:p>
    <w:p>
      <w:pPr>
        <w:pStyle w:val="ListBullet2"/>
      </w:pPr>
      <w:r>
        <w:t>Why chosen: a hosted model was unavailable (Gemini key blocked, no Groq key). Classification of questions, not generation of facts, is where a small model is safe, because every entity and number still comes from deterministic code.</w:t>
      </w:r>
    </w:p>
    <w:p>
      <w:pPr>
        <w:pStyle w:val="ListBullet2"/>
      </w:pPr>
      <w:r>
        <w:t>How it fits: the router calls it only when rules and semantic matching cannot route a question with high precision (6.9% of test questions).</w:t>
      </w:r>
    </w:p>
    <w:p>
      <w:pPr>
        <w:pStyle w:val="ListBullet2"/>
      </w:pPr>
      <w:r>
        <w:t>Usefulness, on the held-out test split scored once: router with the model 95.9% vs 90.4% without it, and 61.6% for the previous router. The model alone scores 58.9%, which is why it is a fallback, not the primary path.</w:t>
      </w:r>
    </w:p>
    <w:p>
      <w:pPr>
        <w:pStyle w:val="ListBullet2"/>
      </w:pPr>
      <w:r>
        <w:t>Also implemented but not run live: a Gemini batch labeller for message sentiment, act, empathy and resolution (scripted-SDK tested).</w:t>
      </w:r>
    </w:p>
    <w:p>
      <w:r>
        <w:rPr>
          <w:b/>
        </w:rPr>
        <w:t>Memory:</w:t>
      </w:r>
    </w:p>
    <w:p>
      <w:pPr>
        <w:pStyle w:val="ListBullet2"/>
      </w:pPr>
      <w:r>
        <w:t>Stored per turn in SQLite: question, resolved intent, scope, plan and deterministic references (ranked keys, conversation IDs).</w:t>
      </w:r>
    </w:p>
    <w:p>
      <w:pPr>
        <w:pStyle w:val="ListBullet2"/>
      </w:pPr>
      <w:r>
        <w:t>Retrieved: the last N turns are loaded at the start of each request.</w:t>
      </w:r>
    </w:p>
    <w:p>
      <w:pPr>
        <w:pStyle w:val="ListBullet2"/>
      </w:pPr>
      <w:r>
        <w:t>Effect: follow-ups such as 'compare the top two', 'previous month', 'the first one', 'why ranked first' are resolved from stored references, re-validated against the database, and the stored plan is re-run on current data. Follow-up routing on the evaluation sessions: 100%.</w:t>
      </w:r>
    </w:p>
    <w:p>
      <w:pPr>
        <w:pStyle w:val="ListBullet2"/>
      </w:pPr>
      <w:r>
        <w:t>Reliability and privacy: model prose is never reused as fact; sessions are isolated; questions are kept as typed (not PII-masked) for SESSION_RETENTION_DAYS (30) and can be deleted per session.</w:t>
      </w:r>
    </w:p>
    <w:p>
      <w:pPr>
        <w:pStyle w:val="Heading1"/>
      </w:pPr>
      <w:r>
        <w:rPr>
          <w:color w:val="1E1B4B"/>
        </w:rPr>
        <w:t>7.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Measure</w:t>
            </w:r>
          </w:p>
        </w:tc>
        <w:tc>
          <w:tcPr>
            <w:tcW w:type="dxa" w:w="4986"/>
          </w:tcPr>
          <w:p>
            <w:r>
              <w:t>Result</w:t>
            </w:r>
          </w:p>
        </w:tc>
      </w:tr>
      <w:tr>
        <w:tc>
          <w:tcPr>
            <w:tcW w:type="dxa" w:w="4986"/>
          </w:tcPr>
          <w:p>
            <w:r>
              <w:t>Q1 vs independent oracle</w:t>
            </w:r>
          </w:p>
        </w:tc>
        <w:tc>
          <w:tcPr>
            <w:tcW w:type="dxa" w:w="4986"/>
          </w:tcPr>
          <w:p>
            <w:r>
              <w:t>exact match</w:t>
            </w:r>
          </w:p>
        </w:tc>
      </w:tr>
      <w:tr>
        <w:tc>
          <w:tcPr>
            <w:tcW w:type="dxa" w:w="4986"/>
          </w:tcPr>
          <w:p>
            <w:r>
              <w:t>End-to-end QA pass rate</w:t>
            </w:r>
          </w:p>
        </w:tc>
        <w:tc>
          <w:tcPr>
            <w:tcW w:type="dxa" w:w="4986"/>
          </w:tcPr>
          <w:p>
            <w:r>
              <w:t>88% of 51 requests</w:t>
            </w:r>
          </w:p>
        </w:tc>
      </w:tr>
      <w:tr>
        <w:tc>
          <w:tcPr>
            <w:tcW w:type="dxa" w:w="4986"/>
          </w:tcPr>
          <w:p>
            <w:r>
              <w:t>Unsupported questions refused</w:t>
            </w:r>
          </w:p>
        </w:tc>
        <w:tc>
          <w:tcPr>
            <w:tcW w:type="dxa" w:w="4986"/>
          </w:tcPr>
          <w:p>
            <w:r>
              <w:t>6/6</w:t>
            </w:r>
          </w:p>
        </w:tc>
      </w:tr>
      <w:tr>
        <w:tc>
          <w:tcPr>
            <w:tcW w:type="dxa" w:w="4986"/>
          </w:tcPr>
          <w:p>
            <w:r>
              <w:t>Intent routing (benchmark v2 test)</w:t>
            </w:r>
          </w:p>
        </w:tc>
        <w:tc>
          <w:tcPr>
            <w:tcW w:type="dxa" w:w="4986"/>
          </w:tcPr>
          <w:p>
            <w:r>
              <w:t>95.9% on 73 held-out questions (no model: 90.4%; previous router: 61.6%)</w:t>
            </w:r>
          </w:p>
        </w:tc>
      </w:tr>
      <w:tr>
        <w:tc>
          <w:tcPr>
            <w:tcW w:type="dxa" w:w="4986"/>
          </w:tcPr>
          <w:p>
            <w:r>
              <w:t>Retrieval topic P@5</w:t>
            </w:r>
          </w:p>
        </w:tc>
        <w:tc>
          <w:tcPr>
            <w:tcW w:type="dxa" w:w="4986"/>
          </w:tcPr>
          <w:p>
            <w:r>
              <w:t>62.8%</w:t>
            </w:r>
          </w:p>
        </w:tc>
      </w:tr>
      <w:tr>
        <w:tc>
          <w:tcPr>
            <w:tcW w:type="dxa" w:w="4986"/>
          </w:tcPr>
          <w:p>
            <w:r>
              <w:t>Latency p50 / p95</w:t>
            </w:r>
          </w:p>
        </w:tc>
        <w:tc>
          <w:tcPr>
            <w:tcW w:type="dxa" w:w="4986"/>
          </w:tcPr>
          <w:p>
            <w:r>
              <w:t>125 / 540 ms</w:t>
            </w:r>
          </w:p>
        </w:tc>
      </w:tr>
      <w:tr>
        <w:tc>
          <w:tcPr>
            <w:tcW w:type="dxa" w:w="4986"/>
          </w:tcPr>
          <w:p>
            <w:r>
              <w:t>Automated tests</w:t>
            </w:r>
          </w:p>
        </w:tc>
        <w:tc>
          <w:tcPr>
            <w:tcW w:type="dxa" w:w="4986"/>
          </w:tcPr>
          <w:p>
            <w:r>
              <w:t>138 backend · 8 Vitest · 17 Playwright — passing</w:t>
            </w:r>
          </w:p>
        </w:tc>
      </w:tr>
    </w:tbl>
    <w:p/>
    <w:p>
      <w:r>
        <w:t>End-to-end results are for the default AUTO path, where the four assignment questions need no model. Intent routing was measured with the local Qwen2.5-1.5B model (docs/evaluation/INTENT_ROUTING.md). Hosted models (Gemini, Groq) were not evaluated live: the Gemini credential in the development environment returned 401 API_KEY_SERVICE_BLOCKED and no Groq key was available.</w:t>
      </w:r>
    </w:p>
    <w:p>
      <w:pPr>
        <w:pStyle w:val="Heading1"/>
      </w:pPr>
      <w:r>
        <w:rPr>
          <w:color w:val="1E1B4B"/>
        </w:rPr>
        <w:t>8. Limitations</w:t>
      </w:r>
    </w:p>
    <w:p>
      <w:pPr>
        <w:pStyle w:val="ListBullet"/>
      </w:pPr>
      <w:r>
        <w:t>Live hosted-model behaviour (Gemini/Groq intent, explanations, labels, latency, tokens) is unmeasured; the local model is slow on CPU.</w:t>
      </w:r>
    </w:p>
    <w:p>
      <w:pPr>
        <w:pStyle w:val="ListBullet"/>
      </w:pPr>
      <w:r>
        <w:t>Sentiment/empathy mappings are developer judgements; human-agreement metrics await labels from the in-app blind review.</w:t>
      </w:r>
    </w:p>
    <w:p>
      <w:pPr>
        <w:pStyle w:val="ListBullet"/>
      </w:pPr>
      <w:r>
        <w:t>Intent routing reaches 95.9% on 73 held-out questions written by the rules' author; three known misroutes are documented, unfixed. The semantic routing stage is disabled by its own calibration.</w:t>
      </w:r>
    </w:p>
    <w:p>
      <w:pPr>
        <w:pStyle w:val="ListBullet"/>
      </w:pPr>
      <w:r>
        <w:t>Root cause findings are associational and depend on template-level labels; X-Ray signals are pointers for review, not a verdict.</w:t>
      </w:r>
    </w:p>
    <w:p>
      <w:pPr>
        <w:pStyle w:val="ListBullet"/>
      </w:pPr>
      <w:r>
        <w:t>Retrieval still misses 'paid but not delivered' paraphrases with every method; hybrid MiniLM + LSA fusion is only marginally better than MiniLM alone, and its LSA weight was tuned on the evaluation queries.</w:t>
      </w:r>
    </w:p>
    <w:p>
      <w:pPr>
        <w:pStyle w:val="ListBullet"/>
      </w:pPr>
      <w:r>
        <w:t>Synthetic, templated data: most topic differences are not significant; no cost, churn, CSAT or handle-time data.</w:t>
      </w:r>
    </w:p>
    <w:p>
      <w:pPr>
        <w:pStyle w:val="ListBullet"/>
      </w:pPr>
      <w:r>
        <w:t>No authentication/RBAC; single-node storage; Docker images not built in the sandbox (registry rate limits).</w:t>
      </w:r>
    </w:p>
    <w:p>
      <w:pPr>
        <w:pStyle w:val="Heading1"/>
      </w:pPr>
      <w:r>
        <w:rPr>
          <w:color w:val="1E1B4B"/>
        </w:rPr>
        <w:t>9. Next improvements</w:t>
      </w:r>
    </w:p>
    <w:p>
      <w:pPr>
        <w:pStyle w:val="ListBullet"/>
      </w:pPr>
      <w:r>
        <w:t>Enable a hosted model (Groq or Gemini); run labelling and the routing/explanation evaluation live; compare with rules and human labels.</w:t>
      </w:r>
    </w:p>
    <w:p>
      <w:pPr>
        <w:pStyle w:val="ListBullet"/>
      </w:pPr>
      <w:r>
        <w:t>A held-out retrieval query set to validate the hybrid weight; a fresh routing test set to measure the three proposed rule fixes.</w:t>
      </w:r>
    </w:p>
    <w:p>
      <w:pPr>
        <w:pStyle w:val="ListBullet"/>
      </w:pPr>
      <w:r>
        <w:t>Collect a few hundred human labels for calibrated sentiment/empathy evaluation.</w:t>
      </w:r>
    </w:p>
    <w:p>
      <w:pPr>
        <w:pStyle w:val="ListBullet"/>
      </w:pPr>
      <w:r>
        <w:t>SSO/RBAC, managed storage, OpenTelemetry/LangSmith, CI evaluation gates.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