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40"/>
        <w:jc w:val="center"/>
      </w:pPr>
      <w:r>
        <w:rPr>
          <w:b/>
          <w:sz w:val="28"/>
          <w:szCs w:val="28"/>
        </w:rPr>
        <w:t xml:space="preserve">CONTRACT DE SUBANTREPRIZĂ – EXECUȚIE LUCRĂRI DE CONSTRUCȚII</w:t>
      </w:r>
    </w:p>
    <w:p>
      <w:pPr>
        <w:spacing w:before="0" w:after="240"/>
        <w:jc w:val="center"/>
      </w:pPr>
      <w:r>
        <w:rPr/>
        <w:t xml:space="preserve">Nr. ........ / ....................</w:t>
      </w:r>
    </w:p>
    <w:p>
      <w:pPr>
        <w:keepNext/>
        <w:spacing w:before="200" w:after="80"/>
        <w:jc w:val="left"/>
      </w:pPr>
      <w:r>
        <w:rPr>
          <w:b/>
        </w:rPr>
        <w:t xml:space="preserve">CAPITOLUL I – PĂRȚILE CONTRACTANTE</w:t>
      </w:r>
    </w:p>
    <w:p>
      <w:pPr>
        <w:spacing w:before="0" w:after="80"/>
        <w:jc w:val="both"/>
      </w:pPr>
      <w:r>
        <w:rPr>
          <w:b/>
        </w:rPr>
        <w:t xml:space="preserve">Art. 1.</w:t>
      </w:r>
      <w:r>
        <w:rPr/>
        <w:t xml:space="preserve"> </w:t>
      </w:r>
      <w:r>
        <w:rPr>
          <w:b/>
        </w:rPr>
        <w:t xml:space="preserve">SC SILBET INVEST SRL</w:t>
      </w:r>
      <w:r>
        <w:rPr/>
        <w:t xml:space="preserve">, cu sediul în Cluj-Napoca, str. Augustin Presecan nr. 13, bl. 4, sc. E, ap. 2, jud. Cluj, înregistrată la Registrul Comerțului sub nr. J2023000352304, CUI RO47935341, cod IBAN RO25CECEB00030RON3041958, deschis la CEC Bank, sucursala Cluj-Napoca, reprezentată prin administrator Silaghi Florin Fanica, în calitate de </w:t>
      </w:r>
      <w:r>
        <w:rPr>
          <w:b/>
        </w:rPr>
        <w:t xml:space="preserve">Beneficiar</w:t>
      </w:r>
      <w:r>
        <w:rPr/>
        <w:t xml:space="preserve">, pe de o parte,</w:t>
      </w:r>
    </w:p>
    <w:p>
      <w:pPr>
        <w:spacing w:before="0" w:after="80"/>
        <w:jc w:val="both"/>
      </w:pPr>
      <w:r>
        <w:rPr/>
        <w:t xml:space="preserve">și</w:t>
      </w:r>
    </w:p>
    <w:p>
      <w:pPr>
        <w:spacing w:before="0" w:after="80"/>
        <w:jc w:val="both"/>
      </w:pPr>
      <w:r>
        <w:rPr>
          <w:b/>
        </w:rPr>
        <w:t xml:space="preserve">SC ZANTECH CONSTRUCTION SRL</w:t>
      </w:r>
      <w:r>
        <w:rPr/>
        <w:t xml:space="preserve">, cu sediul în jud. Ilfov, sat Ștefăneștii de Jos, com. Ștefăneștii de Jos, str. Europa nr. 1A, birou 1, înregistrată la Registrul Comerțului sub nr. J2023009092405, CUI 48174125, cod IBAN RO54UGBI0000022050687RON, deschis la Garanti Bank, reprezentată prin administrator Sahin Adnan, în calitate de </w:t>
      </w:r>
      <w:r>
        <w:rPr>
          <w:b/>
        </w:rPr>
        <w:t xml:space="preserve">Subantreprenor</w:t>
      </w:r>
      <w:r>
        <w:rPr/>
        <w:t xml:space="preserve">, pe de altă parte,</w:t>
      </w:r>
    </w:p>
    <w:p>
      <w:pPr>
        <w:spacing w:before="0" w:after="80"/>
        <w:jc w:val="both"/>
      </w:pPr>
      <w:r>
        <w:rPr/>
        <w:t xml:space="preserve">au convenit încheierea prezentului contract, în următoarele condiții:</w:t>
      </w:r>
    </w:p>
    <w:p>
      <w:pPr>
        <w:keepNext/>
        <w:spacing w:before="200" w:after="80"/>
        <w:jc w:val="left"/>
      </w:pPr>
      <w:r>
        <w:rPr>
          <w:b/>
        </w:rPr>
        <w:t xml:space="preserve">CAPITOLUL II – OBIECTUL CONTRACTULUI</w:t>
      </w:r>
    </w:p>
    <w:p>
      <w:pPr>
        <w:spacing w:before="0" w:after="80"/>
        <w:jc w:val="both"/>
      </w:pPr>
      <w:r>
        <w:rPr>
          <w:b/>
        </w:rPr>
        <w:t xml:space="preserve">Art. 2.</w:t>
      </w:r>
      <w:r>
        <w:rPr/>
        <w:t xml:space="preserve"> Obiectul contractului îl constituie executarea de către Subantreprenor a lucrărilor de ............................................................, conform devizului ofertă (Anexa 1) și proiectului tehnic (Anexa 2), pentru obiectivul „Centru multifuncțional cu dotări sportive, culturale Sf. Hristofor”, loc. Dezmir, str. Eternității, jud. Cluj.</w:t>
      </w:r>
    </w:p>
    <w:p>
      <w:pPr>
        <w:keepNext/>
        <w:spacing w:before="200" w:after="80"/>
        <w:jc w:val="left"/>
      </w:pPr>
      <w:r>
        <w:rPr>
          <w:b/>
        </w:rPr>
        <w:t xml:space="preserve">CAPITOLUL III – VALOAREA CONTRACTULUI ȘI MODALITATEA DE PLATĂ</w:t>
      </w:r>
    </w:p>
    <w:p>
      <w:pPr>
        <w:spacing w:before="0" w:after="80"/>
        <w:jc w:val="both"/>
      </w:pPr>
      <w:r>
        <w:rPr>
          <w:b/>
        </w:rPr>
        <w:t xml:space="preserve">Art. 3.</w:t>
      </w:r>
      <w:r>
        <w:rPr/>
        <w:t xml:space="preserve"> (1) Valoarea contractului este cea din Anexa 1 – Deviz ofertă, la care se adaugă TVA conform legislației în vigoare. Valoarea finală se stabilește în funcție de cantitățile executate efectiv și acceptate de Beneficiar.</w:t>
      </w:r>
    </w:p>
    <w:p>
      <w:pPr>
        <w:spacing w:before="0" w:after="80"/>
        <w:jc w:val="both"/>
      </w:pPr>
      <w:r>
        <w:rPr/>
        <w:t xml:space="preserve">(2) Materialele puse la dispoziție de Beneficiar vor fi folosite de Subantreprenor numai conform destinației. Subantreprenorul va justifica modul în care le-a folosit și va restitui materialele rămase neutilizate. Subantreprenorul asigură personalul, echipamentele, sculele și consumabilele necesare execuției, conform ofertei.</w:t>
      </w:r>
    </w:p>
    <w:p>
      <w:pPr>
        <w:spacing w:before="0" w:after="80"/>
        <w:jc w:val="both"/>
      </w:pPr>
      <w:r>
        <w:rPr/>
        <w:t xml:space="preserve">(3) Decontarea se face pe baza situațiilor de lucrări acceptate de reprezentantul Beneficiarului. Situațiile de lucrări se verifică în termen de 5 zile de la predare, iar factura se emite numai după acceptarea lor.</w:t>
      </w:r>
    </w:p>
    <w:p>
      <w:pPr>
        <w:spacing w:before="0" w:after="80"/>
        <w:jc w:val="both"/>
      </w:pPr>
      <w:r>
        <w:rPr/>
        <w:t xml:space="preserve">(4) </w:t>
      </w:r>
      <w:r>
        <w:rPr>
          <w:b/>
        </w:rPr>
        <w:t xml:space="preserve">Facturile se achită în termen de 30 de zile calendaristice de la data emiterii</w:t>
      </w:r>
      <w:r>
        <w:rPr/>
        <w:t xml:space="preserve">, în lei, prin virament bancar.</w:t>
      </w:r>
    </w:p>
    <w:p>
      <w:pPr>
        <w:spacing w:before="0" w:after="80"/>
        <w:jc w:val="both"/>
      </w:pPr>
      <w:r>
        <w:rPr/>
        <w:t xml:space="preserve">(5) Lucrările suplimentare se execută numai pe baza unei comenzi scrise a Beneficiarului și a unui act adițional semnat de ambele părți.</w:t>
      </w:r>
    </w:p>
    <w:p>
      <w:pPr>
        <w:keepNext/>
        <w:spacing w:before="200" w:after="80"/>
        <w:jc w:val="left"/>
      </w:pPr>
      <w:r>
        <w:rPr>
          <w:b/>
        </w:rPr>
        <w:t xml:space="preserve">CAPITOLUL IV – DURATA CONTRACTULUI</w:t>
      </w:r>
    </w:p>
    <w:p>
      <w:pPr>
        <w:spacing w:before="0" w:after="80"/>
        <w:jc w:val="both"/>
      </w:pPr>
      <w:r>
        <w:rPr>
          <w:b/>
        </w:rPr>
        <w:t xml:space="preserve">Art. 4.</w:t>
      </w:r>
      <w:r>
        <w:rPr/>
        <w:t xml:space="preserve"> (1) Contractul intră în vigoare la data semnării. Execuția începe la data primirii Ordinului de începere și a predării frontului de lucru.</w:t>
      </w:r>
    </w:p>
    <w:p>
      <w:pPr>
        <w:spacing w:before="0" w:after="80"/>
        <w:jc w:val="both"/>
      </w:pPr>
      <w:r>
        <w:rPr/>
        <w:t xml:space="preserve">(2) Lucrările se execută conform graficului de execuție convenit de părți (Anexa 3) sau conform proceselor-verbale încheiate pentru fiecare etapă.</w:t>
      </w:r>
    </w:p>
    <w:p>
      <w:pPr>
        <w:spacing w:before="0" w:after="80"/>
        <w:jc w:val="both"/>
      </w:pPr>
      <w:r>
        <w:rPr/>
        <w:t xml:space="preserve">(3) Întârzierile cauzate de Beneficiar (lipsa frontului de lucru sau întârzierea materialelor care sunt în sarcina sa) prelungesc termenul de execuție cu numărul de zile de întârziere. Orice altă prelungire se face numai prin act adițional.</w:t>
      </w:r>
    </w:p>
    <w:p>
      <w:pPr>
        <w:keepNext/>
        <w:spacing w:before="200" w:after="80"/>
        <w:jc w:val="left"/>
      </w:pPr>
      <w:r>
        <w:rPr>
          <w:b/>
        </w:rPr>
        <w:t xml:space="preserve">CAPITOLUL V – OBLIGAȚIILE SUBANTREPRENORULUI</w:t>
      </w:r>
    </w:p>
    <w:p>
      <w:pPr>
        <w:spacing w:before="0" w:after="80"/>
        <w:jc w:val="both"/>
      </w:pPr>
      <w:r>
        <w:rPr>
          <w:b/>
        </w:rPr>
        <w:t xml:space="preserve">Art. 5.</w:t>
      </w:r>
      <w:r>
        <w:rPr/>
        <w:t xml:space="preserve"> Subantreprenorul se obligă:</w:t>
      </w:r>
    </w:p>
    <w:p>
      <w:pPr>
        <w:numPr>
          <w:ilvl w:val="0"/>
          <w:numId w:val="1"/>
        </w:numPr>
        <w:spacing w:before="0" w:after="40"/>
        <w:jc w:val="both"/>
      </w:pPr>
      <w:r>
        <w:rPr/>
        <w:t xml:space="preserve">să execute lucrările la termen și de calitate, conform proiectului, normativelor tehnice în vigoare și dispozițiilor Beneficiarului;</w:t>
      </w:r>
    </w:p>
    <w:p>
      <w:pPr>
        <w:numPr>
          <w:ilvl w:val="0"/>
          <w:numId w:val="1"/>
        </w:numPr>
        <w:spacing w:before="0" w:after="40"/>
        <w:jc w:val="both"/>
      </w:pPr>
      <w:r>
        <w:rPr/>
        <w:t xml:space="preserve">să nu aducă modificări proiectului fără dispoziții de șantier semnate de persoanele competente (proiectant, diriginte de șantier, Beneficiar);</w:t>
      </w:r>
    </w:p>
    <w:p>
      <w:pPr>
        <w:numPr>
          <w:ilvl w:val="0"/>
          <w:numId w:val="1"/>
        </w:numPr>
        <w:spacing w:before="0" w:after="40"/>
        <w:jc w:val="both"/>
      </w:pPr>
      <w:r>
        <w:rPr/>
        <w:t xml:space="preserve">să lucreze numai cu personal calificat și să respecte regulile de securitate și sănătate în muncă și de PSI, răspunzând pentru orice încălcare a acestora;</w:t>
      </w:r>
    </w:p>
    <w:p>
      <w:pPr>
        <w:numPr>
          <w:ilvl w:val="0"/>
          <w:numId w:val="1"/>
        </w:numPr>
        <w:spacing w:before="0" w:after="40"/>
        <w:jc w:val="both"/>
      </w:pPr>
      <w:r>
        <w:rPr/>
        <w:t xml:space="preserve">să comunice Beneficiarului în scris, în maximum 5 zile de la constatare, orice situație care poate afecta termenele sau orice eroare descoperită în proiect;</w:t>
      </w:r>
    </w:p>
    <w:p>
      <w:pPr>
        <w:numPr>
          <w:ilvl w:val="0"/>
          <w:numId w:val="1"/>
        </w:numPr>
        <w:spacing w:before="0" w:after="40"/>
        <w:jc w:val="both"/>
      </w:pPr>
      <w:r>
        <w:rPr/>
        <w:t xml:space="preserve">să remedieze pe cheltuiala sa, în cel mai scurt timp, toate deficiențele și neconformitățile lucrărilor executate;</w:t>
      </w:r>
    </w:p>
    <w:p>
      <w:pPr>
        <w:numPr>
          <w:ilvl w:val="0"/>
          <w:numId w:val="1"/>
        </w:numPr>
        <w:spacing w:before="0" w:after="40"/>
        <w:jc w:val="both"/>
      </w:pPr>
      <w:r>
        <w:rPr/>
        <w:t xml:space="preserve">să răspundă pentru toate prejudiciile cauzate Beneficiarului sau terților de personalul său, în legătură cu executarea contractului;</w:t>
      </w:r>
    </w:p>
    <w:p>
      <w:pPr>
        <w:numPr>
          <w:ilvl w:val="0"/>
          <w:numId w:val="1"/>
        </w:numPr>
        <w:spacing w:before="0" w:after="40"/>
        <w:jc w:val="both"/>
      </w:pPr>
      <w:r>
        <w:rPr/>
        <w:t xml:space="preserve">să suporte cheltuielile de cazare, masă și transport ale personalului propriu;</w:t>
      </w:r>
    </w:p>
    <w:p>
      <w:pPr>
        <w:numPr>
          <w:ilvl w:val="0"/>
          <w:numId w:val="1"/>
        </w:numPr>
        <w:spacing w:before="0" w:after="40"/>
        <w:jc w:val="both"/>
      </w:pPr>
      <w:r>
        <w:rPr/>
        <w:t xml:space="preserve">să întocmească, împreună cu dirigintele de șantier, documentele pentru Cartea Tehnică a Construcției aferente lucrărilor sale;</w:t>
      </w:r>
    </w:p>
    <w:p>
      <w:pPr>
        <w:numPr>
          <w:ilvl w:val="0"/>
          <w:numId w:val="1"/>
        </w:numPr>
        <w:spacing w:before="0" w:after="40"/>
        <w:jc w:val="both"/>
      </w:pPr>
      <w:r>
        <w:rPr/>
        <w:t xml:space="preserve">să mențină șantierul curat, să îndepărteze deșeurile rezultate din activitatea sa și să elibereze zona de lucru la finalizarea lucrărilor;</w:t>
      </w:r>
    </w:p>
    <w:p>
      <w:pPr>
        <w:numPr>
          <w:ilvl w:val="0"/>
          <w:numId w:val="1"/>
        </w:numPr>
        <w:spacing w:before="0" w:after="40"/>
        <w:jc w:val="both"/>
      </w:pPr>
      <w:r>
        <w:rPr/>
        <w:t xml:space="preserve">să păstreze confidențialitatea informațiilor privind contractul.</w:t>
      </w:r>
    </w:p>
    <w:p>
      <w:pPr>
        <w:keepNext/>
        <w:spacing w:before="200" w:after="80"/>
        <w:jc w:val="left"/>
      </w:pPr>
      <w:r>
        <w:rPr>
          <w:b/>
        </w:rPr>
        <w:t xml:space="preserve">CAPITOLUL VI – OBLIGAȚIILE BENEFICIARULUI</w:t>
      </w:r>
    </w:p>
    <w:p>
      <w:pPr>
        <w:spacing w:before="0" w:after="80"/>
        <w:jc w:val="both"/>
      </w:pPr>
      <w:r>
        <w:rPr>
          <w:b/>
        </w:rPr>
        <w:t xml:space="preserve">Art. 6.</w:t>
      </w:r>
      <w:r>
        <w:rPr/>
        <w:t xml:space="preserve"> Beneficiarul se obligă:</w:t>
      </w:r>
    </w:p>
    <w:p>
      <w:pPr>
        <w:numPr>
          <w:ilvl w:val="0"/>
          <w:numId w:val="1"/>
        </w:numPr>
        <w:spacing w:before="0" w:after="40"/>
        <w:jc w:val="both"/>
      </w:pPr>
      <w:r>
        <w:rPr/>
        <w:t xml:space="preserve">să predea frontul de lucru, proiectul și documentele necesare execuției;</w:t>
      </w:r>
    </w:p>
    <w:p>
      <w:pPr>
        <w:numPr>
          <w:ilvl w:val="0"/>
          <w:numId w:val="1"/>
        </w:numPr>
        <w:spacing w:before="0" w:after="40"/>
        <w:jc w:val="both"/>
      </w:pPr>
      <w:r>
        <w:rPr/>
        <w:t xml:space="preserve">să asigure materialele care sunt în sarcina sa, conform graficului de livrare;</w:t>
      </w:r>
    </w:p>
    <w:p>
      <w:pPr>
        <w:numPr>
          <w:ilvl w:val="0"/>
          <w:numId w:val="1"/>
        </w:numPr>
        <w:spacing w:before="0" w:after="40"/>
        <w:jc w:val="both"/>
      </w:pPr>
      <w:r>
        <w:rPr/>
        <w:t xml:space="preserve">să verifice situațiile de lucrări și să plătească facturile în termenul prevăzut la art. 3 alin. (4);</w:t>
      </w:r>
    </w:p>
    <w:p>
      <w:pPr>
        <w:numPr>
          <w:ilvl w:val="0"/>
          <w:numId w:val="1"/>
        </w:numPr>
        <w:spacing w:before="0" w:after="40"/>
        <w:jc w:val="both"/>
      </w:pPr>
      <w:r>
        <w:rPr/>
        <w:t xml:space="preserve">să organizeze recepția lucrărilor în termen de 5 zile de la solicitarea Subantreprenorului.</w:t>
      </w:r>
    </w:p>
    <w:p>
      <w:pPr>
        <w:keepNext/>
        <w:spacing w:before="200" w:after="80"/>
        <w:jc w:val="left"/>
      </w:pPr>
      <w:r>
        <w:rPr>
          <w:b/>
        </w:rPr>
        <w:t xml:space="preserve">CAPITOLUL VII – SUBCONTRACTARE ȘI CESIUNE</w:t>
      </w:r>
    </w:p>
    <w:p>
      <w:pPr>
        <w:spacing w:before="0" w:after="80"/>
        <w:jc w:val="both"/>
      </w:pPr>
      <w:r>
        <w:rPr>
          <w:b/>
        </w:rPr>
        <w:t xml:space="preserve">Art. 7.</w:t>
      </w:r>
      <w:r>
        <w:rPr/>
        <w:t xml:space="preserve"> Subantreprenorul nu poate subcontracta lucrările, total sau parțial, fără acordul prealabil scris al Beneficiarului și rămâne pe deplin răspunzător față de Beneficiar pentru lucrările subcontractate. Cesiunea contractului este interzisă.</w:t>
      </w:r>
    </w:p>
    <w:p>
      <w:pPr>
        <w:keepNext/>
        <w:spacing w:before="200" w:after="80"/>
        <w:jc w:val="left"/>
      </w:pPr>
      <w:r>
        <w:rPr>
          <w:b/>
        </w:rPr>
        <w:t xml:space="preserve">CAPITOLUL VIII – PENALITĂȚI</w:t>
      </w:r>
    </w:p>
    <w:p>
      <w:pPr>
        <w:spacing w:before="0" w:after="80"/>
        <w:jc w:val="both"/>
      </w:pPr>
      <w:r>
        <w:rPr>
          <w:b/>
        </w:rPr>
        <w:t xml:space="preserve">Art. 8.</w:t>
      </w:r>
      <w:r>
        <w:rPr/>
        <w:t xml:space="preserve"> (1) Pentru întârzierea executării lucrărilor, Subantreprenorul datorează penalități de 0,1% pe zi de întârziere, calculate la valoarea lucrărilor neexecutate.</w:t>
      </w:r>
    </w:p>
    <w:p>
      <w:pPr>
        <w:spacing w:before="0" w:after="80"/>
        <w:jc w:val="both"/>
      </w:pPr>
      <w:r>
        <w:rPr/>
        <w:t xml:space="preserve">(2) Pentru întârzierea plății facturilor, Beneficiarul datorează penalități de 0,1% pe zi de întârziere, calculate la suma neachitată.</w:t>
      </w:r>
    </w:p>
    <w:p>
      <w:pPr>
        <w:spacing w:before="0" w:after="80"/>
        <w:jc w:val="both"/>
      </w:pPr>
      <w:r>
        <w:rPr/>
        <w:t xml:space="preserve">(3) Pentru neremedierea deficiențelor în termenul stabilit de Beneficiar, Subantreprenorul datorează penalități de 0,1% pe zi de întârziere, calculate la valoarea lucrărilor care trebuie remediate.</w:t>
      </w:r>
    </w:p>
    <w:p>
      <w:pPr>
        <w:spacing w:before="0" w:after="80"/>
        <w:jc w:val="both"/>
      </w:pPr>
      <w:r>
        <w:rPr/>
        <w:t xml:space="preserve">(4) Totalul penalităților nu poate depăși 15% din valoarea contractului. Beneficiarul poate reține penalitățile datorate de Subantreprenor din valoarea facturilor acestuia.</w:t>
      </w:r>
    </w:p>
    <w:p>
      <w:pPr>
        <w:keepNext/>
        <w:spacing w:before="200" w:after="80"/>
        <w:jc w:val="left"/>
      </w:pPr>
      <w:r>
        <w:rPr>
          <w:b/>
        </w:rPr>
        <w:t xml:space="preserve">CAPITOLUL IX – RECEPȚIA ȘI GARANȚIA LUCRĂRILOR</w:t>
      </w:r>
    </w:p>
    <w:p>
      <w:pPr>
        <w:spacing w:before="0" w:after="80"/>
        <w:jc w:val="both"/>
      </w:pPr>
      <w:r>
        <w:rPr>
          <w:b/>
        </w:rPr>
        <w:t xml:space="preserve">Art. 9.</w:t>
      </w:r>
      <w:r>
        <w:rPr/>
        <w:t xml:space="preserve"> (1) Subantreprenorul notifică Beneficiarul cu cel puțin 5 zile înainte de finalizarea lucrărilor. Recepția se face pe bază de proces-verbal semnat de ambele părți. Lucrările se predau pe etape, prin procese-verbale de predare-primire, iar la final se încheie procesul-verbal de recepție la terminarea lucrărilor.</w:t>
      </w:r>
    </w:p>
    <w:p>
      <w:pPr>
        <w:spacing w:before="0" w:after="80"/>
        <w:jc w:val="both"/>
      </w:pPr>
      <w:r>
        <w:rPr/>
        <w:t xml:space="preserve">(2) Perioada de garanție a lucrărilor este de 5 ani de la data procesului-verbal de recepție la terminarea lucrărilor. Pentru viciile structurii de rezistență rezultate din nerespectarea normelor de execuție, garanția se acordă pe toată durata de existență a construcției, conform legii.</w:t>
      </w:r>
    </w:p>
    <w:p>
      <w:pPr>
        <w:spacing w:before="0" w:after="80"/>
        <w:jc w:val="both"/>
      </w:pPr>
      <w:r>
        <w:rPr/>
        <w:t xml:space="preserve">(3) În perioada de garanție, Subantreprenorul remediază pe cheltuiala sa, în termenul stabilit prin notificarea Beneficiarului, orice viciu provenit din execuție. Dacă nu o face în acest termen, sau în caz de urgență, Beneficiarul poate executa remedierile direct sau printr-un terț, pe cheltuiala Subantreprenorului.</w:t>
      </w:r>
    </w:p>
    <w:p>
      <w:pPr>
        <w:keepNext/>
        <w:spacing w:before="200" w:after="80"/>
        <w:jc w:val="left"/>
      </w:pPr>
      <w:r>
        <w:rPr>
          <w:b/>
        </w:rPr>
        <w:t xml:space="preserve">CAPITOLUL X – REZILIEREA CONTRACTULUI</w:t>
      </w:r>
    </w:p>
    <w:p>
      <w:pPr>
        <w:spacing w:before="0" w:after="80"/>
        <w:jc w:val="both"/>
      </w:pPr>
      <w:r>
        <w:rPr>
          <w:b/>
        </w:rPr>
        <w:t xml:space="preserve">Art. 10.</w:t>
      </w:r>
      <w:r>
        <w:rPr/>
        <w:t xml:space="preserve"> (1) Beneficiarul poate rezilia contractul, printr-o notificare motivată transmisă cu 15 zile înainte, dacă Subantreprenorul:</w:t>
      </w:r>
    </w:p>
    <w:p>
      <w:pPr>
        <w:numPr>
          <w:ilvl w:val="0"/>
          <w:numId w:val="1"/>
        </w:numPr>
        <w:spacing w:before="0" w:after="40"/>
        <w:jc w:val="both"/>
      </w:pPr>
      <w:r>
        <w:rPr/>
        <w:t xml:space="preserve">nu remediază o încălcare a contractului în termenul stabilit prin notificare;</w:t>
      </w:r>
    </w:p>
    <w:p>
      <w:pPr>
        <w:numPr>
          <w:ilvl w:val="0"/>
          <w:numId w:val="1"/>
        </w:numPr>
        <w:spacing w:before="0" w:after="40"/>
        <w:jc w:val="both"/>
      </w:pPr>
      <w:r>
        <w:rPr/>
        <w:t xml:space="preserve">subcontractează sau cesionează contractul fără acordul Beneficiarului;</w:t>
      </w:r>
    </w:p>
    <w:p>
      <w:pPr>
        <w:numPr>
          <w:ilvl w:val="0"/>
          <w:numId w:val="1"/>
        </w:numPr>
        <w:spacing w:before="0" w:after="40"/>
        <w:jc w:val="both"/>
      </w:pPr>
      <w:r>
        <w:rPr/>
        <w:t xml:space="preserve">intră în insolvență, faliment sau lichidare.</w:t>
      </w:r>
    </w:p>
    <w:p>
      <w:pPr>
        <w:spacing w:before="0" w:after="80"/>
        <w:jc w:val="both"/>
      </w:pPr>
      <w:r>
        <w:rPr/>
        <w:t xml:space="preserve">(2) Subantreprenorul poate rezilia contractul, printr-o notificare motivată transmisă cu 15 zile înainte, dacă nu primește o plată datorată în termen de 30 de zile de la scadență sau dacă Beneficiarul intră în insolvență, faliment sau lichidare.</w:t>
      </w:r>
    </w:p>
    <w:p>
      <w:pPr>
        <w:spacing w:before="0" w:after="80"/>
        <w:jc w:val="both"/>
      </w:pPr>
      <w:r>
        <w:rPr/>
        <w:t xml:space="preserve">(3) În caz de reziliere, lucrările executate și acceptate până la data rezilierii se plătesc, iar Beneficiarul poate finaliza lucrările direct sau printr-un terț.</w:t>
      </w:r>
    </w:p>
    <w:p>
      <w:pPr>
        <w:keepNext/>
        <w:spacing w:before="200" w:after="80"/>
        <w:jc w:val="left"/>
      </w:pPr>
      <w:r>
        <w:rPr>
          <w:b/>
        </w:rPr>
        <w:t xml:space="preserve">CAPITOLUL XI – FORȚA MAJORĂ</w:t>
      </w:r>
    </w:p>
    <w:p>
      <w:pPr>
        <w:spacing w:before="0" w:after="80"/>
        <w:jc w:val="both"/>
      </w:pPr>
      <w:r>
        <w:rPr>
          <w:b/>
        </w:rPr>
        <w:t xml:space="preserve">Art. 11.</w:t>
      </w:r>
      <w:r>
        <w:rPr/>
        <w:t xml:space="preserve"> Forța majoră, constatată conform legii, exonerează de răspundere partea care o invocă, cu condiția notificării celeilalte părți în termen de 5 zile de la apariția ei.</w:t>
      </w:r>
    </w:p>
    <w:p>
      <w:pPr>
        <w:keepNext/>
        <w:spacing w:before="200" w:after="80"/>
        <w:jc w:val="left"/>
      </w:pPr>
      <w:r>
        <w:rPr>
          <w:b/>
        </w:rPr>
        <w:t xml:space="preserve">CAPITOLUL XII – LITIGII</w:t>
      </w:r>
    </w:p>
    <w:p>
      <w:pPr>
        <w:spacing w:before="0" w:after="80"/>
        <w:jc w:val="both"/>
      </w:pPr>
      <w:r>
        <w:rPr>
          <w:b/>
        </w:rPr>
        <w:t xml:space="preserve">Art. 12.</w:t>
      </w:r>
      <w:r>
        <w:rPr/>
        <w:t xml:space="preserve"> Litigiile se soluționează pe cale amiabilă, iar în caz contrar de instanța competentă din municipiul Cluj-Napoca.</w:t>
      </w:r>
    </w:p>
    <w:p>
      <w:pPr>
        <w:keepNext/>
        <w:spacing w:before="200" w:after="80"/>
        <w:jc w:val="left"/>
      </w:pPr>
      <w:r>
        <w:rPr>
          <w:b/>
        </w:rPr>
        <w:t xml:space="preserve">CAPITOLUL XIII – CLAUZE FINALE</w:t>
      </w:r>
    </w:p>
    <w:p>
      <w:pPr>
        <w:spacing w:before="0" w:after="80"/>
        <w:jc w:val="both"/>
      </w:pPr>
      <w:r>
        <w:rPr>
          <w:b/>
        </w:rPr>
        <w:t xml:space="preserve">Art. 13.</w:t>
      </w:r>
      <w:r>
        <w:rPr/>
        <w:t xml:space="preserve"> (1) Orice modificare a contractului se face numai prin act adițional scris, semnat de ambele părți.</w:t>
      </w:r>
    </w:p>
    <w:p>
      <w:pPr>
        <w:spacing w:before="0" w:after="80"/>
        <w:jc w:val="both"/>
      </w:pPr>
      <w:r>
        <w:rPr/>
        <w:t xml:space="preserve">(2) Comunicările dintre părți se fac în scris (poștă, e-mail sau predare personală), la sediile menționate la art. 1.</w:t>
      </w:r>
    </w:p>
    <w:p>
      <w:pPr>
        <w:spacing w:before="0" w:after="80"/>
        <w:jc w:val="both"/>
      </w:pPr>
      <w:r>
        <w:rPr/>
        <w:t xml:space="preserve">(3) Anexele fac parte integrantă din contract: Anexa 1 – Deviz ofertă; Anexa 2 – Proiect tehnic; Anexa 3 – Grafic de execuție.</w:t>
      </w:r>
    </w:p>
    <w:p>
      <w:pPr>
        <w:spacing w:before="0" w:after="80"/>
        <w:jc w:val="both"/>
      </w:pPr>
      <w:r>
        <w:rPr/>
        <w:t xml:space="preserve">(4) Prezentul contract a fost încheiat astăzi, ...................., în 2 exemplare originale, câte unul pentru fiecare parte.</w:t>
      </w:r>
    </w:p>
    <w:p>
      <w:pPr>
        <w:spacing w:before="240"/>
      </w:pPr>
    </w:p>
    <w:tbl>
      <w:tblPr>
        <w:tblW w:w="9638" w:type="dxa"/>
        <w:tblLayout w:type="fixed"/>
      </w:tblPr>
      <w:tblGrid>
        <w:gridCol w:w="4819"/>
        <w:gridCol w:w="4819"/>
      </w:tblGrid>
      <w:tr>
        <w:trPr>
          <w:cantSplit/>
        </w:trPr>
        <w:tc>
          <w:tcPr>
            <w:tcW w:w="4819" w:type="dxa"/>
          </w:tcPr>
          <w:p>
            <w:pPr>
              <w:spacing w:before="0" w:after="0"/>
              <w:jc w:val="center"/>
            </w:pPr>
            <w:r>
              <w:rPr>
                <w:b/>
              </w:rPr>
              <w:t xml:space="preserve">BENEFICIAR</w:t>
            </w:r>
            <w:r>
              <w:rPr>
                <w:b/>
              </w:rPr>
              <w:br/>
            </w:r>
            <w:r>
              <w:rPr>
                <w:b/>
              </w:rPr>
              <w:t xml:space="preserve">SC SILBET INVEST SRL</w:t>
            </w:r>
            <w:r>
              <w:rPr>
                <w:b/>
              </w:rPr>
              <w:br/>
            </w:r>
            <w:r>
              <w:rPr>
                <w:b/>
              </w:rPr>
              <w:t xml:space="preserve">Administrator</w:t>
            </w:r>
            <w:r>
              <w:rPr>
                <w:b/>
              </w:rPr>
              <w:br/>
            </w:r>
            <w:r>
              <w:rPr>
                <w:b/>
              </w:rPr>
              <w:t xml:space="preserve">Silaghi Florin Fanica</w:t>
            </w:r>
            <w:r>
              <w:rPr>
                <w:b/>
              </w:rPr>
              <w:br/>
            </w:r>
            <w:r>
              <w:rPr>
                <w:b/>
              </w:rPr>
              <w:br/>
            </w:r>
            <w:r>
              <w:rPr>
                <w:b/>
              </w:rPr>
              <w:br/>
            </w:r>
            <w:r>
              <w:rPr>
                <w:b/>
              </w:rPr>
              <w:t xml:space="preserve">..............................</w:t>
            </w:r>
          </w:p>
        </w:tc>
        <w:tc>
          <w:tcPr>
            <w:tcW w:w="4819" w:type="dxa"/>
          </w:tcPr>
          <w:p>
            <w:pPr>
              <w:spacing w:before="0" w:after="0"/>
              <w:jc w:val="center"/>
            </w:pPr>
            <w:r>
              <w:rPr>
                <w:b/>
              </w:rPr>
              <w:t xml:space="preserve">SUBANTREPRENOR</w:t>
            </w:r>
            <w:r>
              <w:rPr>
                <w:b/>
              </w:rPr>
              <w:br/>
            </w:r>
            <w:r>
              <w:rPr>
                <w:b/>
              </w:rPr>
              <w:t xml:space="preserve">SC ZANTECH CONSTRUCTION SRL</w:t>
            </w:r>
            <w:r>
              <w:rPr>
                <w:b/>
              </w:rPr>
              <w:br/>
            </w:r>
            <w:r>
              <w:rPr>
                <w:b/>
              </w:rPr>
              <w:t xml:space="preserve">Administrator</w:t>
            </w:r>
            <w:r>
              <w:rPr>
                <w:b/>
              </w:rPr>
              <w:br/>
            </w:r>
            <w:r>
              <w:rPr>
                <w:b/>
              </w:rPr>
              <w:t xml:space="preserve">Sahin Adnan</w:t>
            </w:r>
            <w:r>
              <w:rPr>
                <w:b/>
              </w:rPr>
              <w:br/>
            </w:r>
            <w:r>
              <w:rPr>
                <w:b/>
              </w:rPr>
              <w:br/>
            </w:r>
            <w:r>
              <w:rPr>
                <w:b/>
              </w:rPr>
              <w:br/>
            </w:r>
            <w:r>
              <w:rPr>
                <w:b/>
              </w:rPr>
              <w:t xml:space="preserve">..............................</w:t>
            </w:r>
          </w:p>
        </w:tc>
      </w:tr>
    </w:tbl>
    <w:sectPr>
      <w:footerReference w:type="default" r:id="rId3"/>
      <w:pgSz w:w="11906" w:h="16838"/>
      <w:pgMar w:top="1134" w:right="1134" w:bottom="1134" w:left="1247" w:header="567" w:footer="567" w:gutter="0"/>
    </w:sectPr>
  </w:body>
</w:document>
</file>

<file path=word/footer1.xml><?xml version="1.0" encoding="utf-8"?>
<w:ftr xmlns:w="http://schemas.openxmlformats.org/wordprocessingml/2006/main" xmlns:r="http://schemas.openxmlformats.org/officeDocument/2006/relationships">
  <w:p>
    <w:pPr>
      <w:jc w:val="center"/>
    </w:pPr>
    <w:r>
      <w:rPr>
        <w:sz w:val="18"/>
      </w:rPr>
      <w:t xml:space="preserve">Pagina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numbering.xml><?xml version="1.0" encoding="utf-8"?>
<w:numbering xmlns:w="http://schemas.openxmlformats.org/wordprocessingml/2006/main" xmlns:r="http://schemas.openxmlformats.org/officeDocument/2006/relationships">
  <w:abstractNum w:abstractNumId="0">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eastAsia="Times New Roman"/>
        <w:sz w:val="23"/>
        <w:szCs w:val="23"/>
        <w:lang w:val="ro-RO"/>
      </w:rPr>
    </w:rPrDefault>
    <w:pPrDefault>
      <w:pPr>
        <w:spacing w:after="80" w:line="264"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