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Stellungnahme der Handwerkskammer Musterstadt-Land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28. Mai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Sehr geehrte Damen und Herren,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wir bedanken uns für die Gelegenheit zur Stellungnahme.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Handwerkskammer begrüßt das Ziel der Stadt, den Ausbau der Solarenergie zu beschleunigen. Der Neubau ist der günstigste Zeitpunkt für die Installation: Gerüst, Dachdeckung und Elektroplanung sind ohnehin da, die Anlage kostet im Neubau ein Drittel weniger als eine Nachrüstung.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Fachkräftesituation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Der Fachkräftemangel gefährdet allerdings die Umsetzung. In unserem Kammerbezirk sind derzeit 41 Betriebe im Bereich Solartechnik eingetragen, von denen nach unserer Umfrage vom März 2026 drei Viertel bereits heute Wartezeiten von mehr als vier Monaten haben. 900 zusätzliche Anlagen im Jahr sind mit dem vorhandenen Personal nicht zu schaffen, wenn die Pflicht auf einen Schlag für alle Bauanträge gilt.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Unser Vorschlag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Wir schlagen einen gestuften Vollzug vor: Im ersten Jahr gilt die Pflicht für Bauvorhaben ab drei Wohneinheiten, ab dem zweiten Jahr für alle Neubauten. So können die Betriebe ausbilden und Personal aufbauen. Übergangsfristen sind sinnvoll, sie dürfen aber nicht so lang werden, dass sich die Pflicht erledigt.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 freundlichen Grüßen</w:t>
      </w:r>
    </w:p>
    <w:p>
      <w:pPr/>
      <w:r>
        <w:rPr>
          <w:rFonts w:ascii="Helvetica Light" w:hAnsi="Helvetica Light" w:cs="Helvetica Light"/>
          <w:sz w:val="24"/>
          <w:sz-cs w:val="24"/>
        </w:rPr>
        <w:t xml:space="preserve">Handwerkskammer Musterstadt-Land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