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w:t>
      </w:r>
      <w:r>
        <w:t xml:space="preserve"> </w:t>
      </w:r>
      <w:r>
        <w:t xml:space="preserve">and</w:t>
      </w:r>
      <w:r>
        <w:t xml:space="preserve"> </w:t>
      </w:r>
      <w:r>
        <w:t xml:space="preserve">Improving</w:t>
      </w:r>
      <w:r>
        <w:t xml:space="preserve"> </w:t>
      </w:r>
      <w:r>
        <w:t xml:space="preserve">Adversarial</w:t>
      </w:r>
      <w:r>
        <w:t xml:space="preserve"> </w:t>
      </w:r>
      <w:r>
        <w:t xml:space="preserve">Robustness</w:t>
      </w:r>
      <w:r>
        <w:t xml:space="preserve"> </w:t>
      </w:r>
      <w:r>
        <w:t xml:space="preserve">in</w:t>
      </w:r>
      <w:r>
        <w:t xml:space="preserve"> </w:t>
      </w:r>
      <w:r>
        <w:t xml:space="preserve">Neural</w:t>
      </w:r>
      <w:r>
        <w:t xml:space="preserve"> </w:t>
      </w:r>
      <w:r>
        <w:t xml:space="preserve">Networks</w:t>
      </w:r>
    </w:p>
    <w:p>
      <w:pPr>
        <w:pStyle w:val="Subtitle"/>
      </w:pPr>
      <w:r>
        <w:t xml:space="preserve">A</w:t>
      </w:r>
      <w:r>
        <w:t xml:space="preserve"> </w:t>
      </w:r>
      <w:r>
        <w:t xml:space="preserve">reproducible</w:t>
      </w:r>
      <w:r>
        <w:t xml:space="preserve"> </w:t>
      </w:r>
      <w:r>
        <w:t xml:space="preserve">handwritten-digit</w:t>
      </w:r>
      <w:r>
        <w:t xml:space="preserve"> </w:t>
      </w:r>
      <w:r>
        <w:t xml:space="preserve">study</w:t>
      </w:r>
      <w:r>
        <w:t xml:space="preserve"> </w:t>
      </w:r>
      <w:r>
        <w:t xml:space="preserve">with</w:t>
      </w:r>
      <w:r>
        <w:t xml:space="preserve"> </w:t>
      </w:r>
      <w:r>
        <w:t xml:space="preserve">a</w:t>
      </w:r>
      <w:r>
        <w:t xml:space="preserve"> </w:t>
      </w:r>
      <w:r>
        <w:t xml:space="preserve">transfer</w:t>
      </w:r>
      <w:r>
        <w:t xml:space="preserve"> </w:t>
      </w:r>
      <w:r>
        <w:t xml:space="preserve">protocol</w:t>
      </w:r>
      <w:r>
        <w:t xml:space="preserve"> </w:t>
      </w:r>
      <w:r>
        <w:t xml:space="preserve">for</w:t>
      </w:r>
      <w:r>
        <w:t xml:space="preserve"> </w:t>
      </w:r>
      <w:r>
        <w:t xml:space="preserve">MNIST</w:t>
      </w:r>
      <w:r>
        <w:t xml:space="preserve"> </w:t>
      </w:r>
      <w:r>
        <w:t xml:space="preserve">and</w:t>
      </w:r>
      <w:r>
        <w:t xml:space="preserve"> </w:t>
      </w:r>
      <w:r>
        <w:t xml:space="preserve">CIFAR-10</w:t>
      </w:r>
    </w:p>
    <w:p>
      <w:pPr>
        <w:pStyle w:val="Author"/>
      </w:pPr>
      <w:r>
        <w:t xml:space="preserve">Researcher</w:t>
      </w:r>
      <w:r>
        <w:t xml:space="preserve"> </w:t>
      </w:r>
      <w:r>
        <w:t xml:space="preserve">Name</w:t>
      </w:r>
    </w:p>
    <w:p>
      <w:pPr>
        <w:pStyle w:val="Date"/>
      </w:pP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Abstract</w:t>
      </w:r>
    </w:p>
    <w:p>
      <w:pPr>
        <w:pStyle w:val="FirstParagraph"/>
      </w:pPr>
      <w:r>
        <w:t xml:space="preserve">This study examines a central weakness in modern neural networks: a model can achieve excellent clean accuracy and still fail under small, carefully designed perturbations. The work develops a complete and reproducible robustness pipeline with four stages: baseline training, adversarial attack, failure analysis, and adversarial defense. The empirical results are produced locally on the scikit-learn handwritten-digits dataset, which contains 1,797 grayscale images of size 8 x 8 across ten classes. This benchmark is intentionally modest, yet it is sufficient to expose the geometry of adversarial vulnerability and to support a clear academic analysis.</w:t>
      </w:r>
    </w:p>
    <w:p>
      <w:pPr>
        <w:pStyle w:val="BodyText"/>
      </w:pPr>
      <w:r>
        <w:t xml:space="preserve">Two first-order attacks are evaluated. The first is the Fast Gradient Sign Method (FGSM), a one-step gradient attack that is simple, fast, and easy to explain. The second is Projected Gradient Descent (PGD), an iterative attack that more faithfully reveals worst-case local weakness. A cleanly trained multilayer perceptron reaches 96.67% clean accuracy. However, this apparently strong model drops to 21.11% under FGSM and to only 0.28% under PGD. The collapse is severe enough to show that clean accuracy alone cannot be used as a measure of trustworthiness.</w:t>
      </w:r>
    </w:p>
    <w:p>
      <w:pPr>
        <w:pStyle w:val="BodyText"/>
      </w:pPr>
      <w:r>
        <w:t xml:space="preserve">To improve robustness, this study applies adversarial training based on FGSM-generated samples after a short clean warm-up period. The defended model preserves most of its clean performance, reaching 96.39% clean accuracy, while its robust accuracy improves to 58.89% under FGSM and 30.28% under PGD. The findings support a clear conclusion: robustness must be treated as a design objective, not as a secondary evaluation detail. The study also provides a practical transfer protocol for extending the same logic to MNIST and CIFAR-10 with stronger convolutional backbones and more demanding defense comparisons.</w:t>
      </w:r>
    </w:p>
    <w:bookmarkEnd w:id="20"/>
    <w:bookmarkStart w:id="21" w:name="keywords"/>
    <w:p>
      <w:pPr>
        <w:pStyle w:val="Heading1"/>
      </w:pPr>
      <w:r>
        <w:t xml:space="preserve">Keywords</w:t>
      </w:r>
    </w:p>
    <w:p>
      <w:pPr>
        <w:pStyle w:val="FirstParagraph"/>
      </w:pPr>
      <w:r>
        <w:t xml:space="preserve">Adversarial robustness, adversarial examples, FGSM, PGD, adversarial training, neural networks, robust optimization.</w:t>
      </w:r>
    </w:p>
    <w:bookmarkEnd w:id="21"/>
    <w:bookmarkStart w:id="28" w:name="introduction"/>
    <w:p>
      <w:pPr>
        <w:pStyle w:val="Heading1"/>
      </w:pPr>
      <w:r>
        <w:t xml:space="preserve">1. Introduction</w:t>
      </w:r>
    </w:p>
    <w:bookmarkStart w:id="22" w:name="background"/>
    <w:p>
      <w:pPr>
        <w:pStyle w:val="Heading2"/>
      </w:pPr>
      <w:r>
        <w:t xml:space="preserve">1.1 Background</w:t>
      </w:r>
    </w:p>
    <w:p>
      <w:pPr>
        <w:pStyle w:val="FirstParagraph"/>
      </w:pPr>
      <w:r>
        <w:t xml:space="preserve">Deep neural networks have delivered strong results across vision, language, health, finance, and security. In many academic and industrial settings, model quality is still summarized by a single clean-data accuracy score. This practice is useful, but it is incomplete. A model that performs well on ordinary test inputs may still be highly fragile when an adversary is allowed to make small, targeted changes to the input.</w:t>
      </w:r>
    </w:p>
    <w:p>
      <w:pPr>
        <w:pStyle w:val="BodyText"/>
      </w:pPr>
      <w:r>
        <w:t xml:space="preserve">Adversarial examples illustrate this problem clearly. They are not random distortions. They are perturbations chosen to increase model loss while remaining visually small or semantically subtle. In image classification, this means that a sample can still look like the same digit or object to a human observer while the model predicts a different class with high confidence. Such behavior raises a serious question: what does it mean for a model to be reliable?</w:t>
      </w:r>
    </w:p>
    <w:p>
      <w:pPr>
        <w:pStyle w:val="BodyText"/>
      </w:pPr>
      <w:r>
        <w:t xml:space="preserve">This question is especially important in graduate-level study because it connects theory and practice. Adversarial robustness is not only a cybersecurity topic. It is a neural-networks topic. It concerns gradients, loss landscapes, feature sensitivity, and optimization under worst-case pressure. For this reason, adversarial robustness offers a strong research narrative: the model is trained, then broken, then analyzed, then partially repaired.</w:t>
      </w:r>
    </w:p>
    <w:bookmarkEnd w:id="22"/>
    <w:bookmarkStart w:id="23" w:name="problem-statement"/>
    <w:p>
      <w:pPr>
        <w:pStyle w:val="Heading2"/>
      </w:pPr>
      <w:r>
        <w:t xml:space="preserve">1.2 Problem statement</w:t>
      </w:r>
    </w:p>
    <w:p>
      <w:pPr>
        <w:pStyle w:val="FirstParagraph"/>
      </w:pPr>
      <w:r>
        <w:t xml:space="preserve">The main problem addressed in this study is the gap between natural accuracy and adversarial reliability. A neural network can classify clean data very well, but its predictions may become unstable under perturbations that are too small to matter to a human observer. If this happens, then the model has learned useful patterns for standard evaluation, but it has not learned stable or trustworthy decision boundaries.</w:t>
      </w:r>
    </w:p>
    <w:p>
      <w:pPr>
        <w:pStyle w:val="BodyText"/>
      </w:pPr>
      <w:r>
        <w:t xml:space="preserve">This work therefore asks whether a simple neural classifier trained on handwritten digits can remain reliable under first-order attacks, and whether a lightweight adversarial training strategy can materially improve its robustness without destroying clean performance.</w:t>
      </w:r>
    </w:p>
    <w:bookmarkEnd w:id="23"/>
    <w:bookmarkStart w:id="24" w:name="research-questions"/>
    <w:p>
      <w:pPr>
        <w:pStyle w:val="Heading2"/>
      </w:pPr>
      <w:r>
        <w:t xml:space="preserve">1.3 Research questions</w:t>
      </w:r>
    </w:p>
    <w:p>
      <w:pPr>
        <w:pStyle w:val="FirstParagraph"/>
      </w:pPr>
      <w:r>
        <w:t xml:space="preserve">This manuscript is organized around four research questions:</w:t>
      </w:r>
    </w:p>
    <w:p>
      <w:pPr>
        <w:pStyle w:val="Compact"/>
        <w:numPr>
          <w:ilvl w:val="0"/>
          <w:numId w:val="1001"/>
        </w:numPr>
      </w:pPr>
      <w:r>
        <w:t xml:space="preserve">How vulnerable is a cleanly trained neural network to gradient-based adversarial attacks?</w:t>
      </w:r>
    </w:p>
    <w:p>
      <w:pPr>
        <w:pStyle w:val="Compact"/>
        <w:numPr>
          <w:ilvl w:val="0"/>
          <w:numId w:val="1001"/>
        </w:numPr>
      </w:pPr>
      <w:r>
        <w:t xml:space="preserve">Does PGD expose a more severe form of weakness than FGSM on the same model?</w:t>
      </w:r>
    </w:p>
    <w:p>
      <w:pPr>
        <w:pStyle w:val="Compact"/>
        <w:numPr>
          <w:ilvl w:val="0"/>
          <w:numId w:val="1001"/>
        </w:numPr>
      </w:pPr>
      <w:r>
        <w:t xml:space="preserve">Can adversarial training improve robustness while preserving most clean accuracy?</w:t>
      </w:r>
    </w:p>
    <w:p>
      <w:pPr>
        <w:pStyle w:val="Compact"/>
        <w:numPr>
          <w:ilvl w:val="0"/>
          <w:numId w:val="1001"/>
        </w:numPr>
      </w:pPr>
      <w:r>
        <w:t xml:space="preserve">How can a small reproducible experiment be extended into a more benchmark-oriented study on MNIST and CIFAR-10?</w:t>
      </w:r>
    </w:p>
    <w:bookmarkEnd w:id="24"/>
    <w:bookmarkStart w:id="25" w:name="research-objectives"/>
    <w:p>
      <w:pPr>
        <w:pStyle w:val="Heading2"/>
      </w:pPr>
      <w:r>
        <w:t xml:space="preserve">1.4 Research objectives</w:t>
      </w:r>
    </w:p>
    <w:p>
      <w:pPr>
        <w:pStyle w:val="FirstParagraph"/>
      </w:pPr>
      <w:r>
        <w:t xml:space="preserve">The study has five objectives:</w:t>
      </w:r>
    </w:p>
    <w:p>
      <w:pPr>
        <w:pStyle w:val="Compact"/>
        <w:numPr>
          <w:ilvl w:val="0"/>
          <w:numId w:val="1002"/>
        </w:numPr>
      </w:pPr>
      <w:r>
        <w:t xml:space="preserve">to build a reproducible adversarial-robustness pipeline;</w:t>
      </w:r>
    </w:p>
    <w:p>
      <w:pPr>
        <w:pStyle w:val="Compact"/>
        <w:numPr>
          <w:ilvl w:val="0"/>
          <w:numId w:val="1002"/>
        </w:numPr>
      </w:pPr>
      <w:r>
        <w:t xml:space="preserve">to train a clean baseline model on a digit classification task;</w:t>
      </w:r>
    </w:p>
    <w:p>
      <w:pPr>
        <w:pStyle w:val="Compact"/>
        <w:numPr>
          <w:ilvl w:val="0"/>
          <w:numId w:val="1002"/>
        </w:numPr>
      </w:pPr>
      <w:r>
        <w:t xml:space="preserve">to evaluate the model under FGSM and PGD attacks;</w:t>
      </w:r>
    </w:p>
    <w:p>
      <w:pPr>
        <w:pStyle w:val="Compact"/>
        <w:numPr>
          <w:ilvl w:val="0"/>
          <w:numId w:val="1002"/>
        </w:numPr>
      </w:pPr>
      <w:r>
        <w:t xml:space="preserve">to apply adversarial training as a defense and measure its effect;</w:t>
      </w:r>
    </w:p>
    <w:p>
      <w:pPr>
        <w:pStyle w:val="Compact"/>
        <w:numPr>
          <w:ilvl w:val="0"/>
          <w:numId w:val="1002"/>
        </w:numPr>
      </w:pPr>
      <w:r>
        <w:t xml:space="preserve">to design a clear extension path toward MNIST and CIFAR-10.</w:t>
      </w:r>
    </w:p>
    <w:bookmarkEnd w:id="25"/>
    <w:bookmarkStart w:id="26" w:name="contribution-of-the-study"/>
    <w:p>
      <w:pPr>
        <w:pStyle w:val="Heading2"/>
      </w:pPr>
      <w:r>
        <w:t xml:space="preserve">1.5 Contribution of the study</w:t>
      </w:r>
    </w:p>
    <w:p>
      <w:pPr>
        <w:pStyle w:val="FirstParagraph"/>
      </w:pPr>
      <w:r>
        <w:t xml:space="preserve">The contribution of this work is not a new attack or a new defense. Its value lies in the quality of the research design and the clarity of the empirical story. The study contributes:</w:t>
      </w:r>
    </w:p>
    <w:p>
      <w:pPr>
        <w:pStyle w:val="Compact"/>
        <w:numPr>
          <w:ilvl w:val="0"/>
          <w:numId w:val="1003"/>
        </w:numPr>
      </w:pPr>
      <w:r>
        <w:t xml:space="preserve">a compact but complete adversarial-robustness workflow;</w:t>
      </w:r>
    </w:p>
    <w:p>
      <w:pPr>
        <w:pStyle w:val="Compact"/>
        <w:numPr>
          <w:ilvl w:val="0"/>
          <w:numId w:val="1003"/>
        </w:numPr>
      </w:pPr>
      <w:r>
        <w:t xml:space="preserve">a reproducible set of results showing dramatic clean-to-attack degradation;</w:t>
      </w:r>
    </w:p>
    <w:p>
      <w:pPr>
        <w:pStyle w:val="Compact"/>
        <w:numPr>
          <w:ilvl w:val="0"/>
          <w:numId w:val="1003"/>
        </w:numPr>
      </w:pPr>
      <w:r>
        <w:t xml:space="preserve">a direct comparison between clean training and adversarial training;</w:t>
      </w:r>
    </w:p>
    <w:p>
      <w:pPr>
        <w:pStyle w:val="Compact"/>
        <w:numPr>
          <w:ilvl w:val="0"/>
          <w:numId w:val="1003"/>
        </w:numPr>
      </w:pPr>
      <w:r>
        <w:t xml:space="preserve">a practical GitHub-ready presentation structure, including a dashboard-oriented dissemination format;</w:t>
      </w:r>
    </w:p>
    <w:p>
      <w:pPr>
        <w:pStyle w:val="Compact"/>
        <w:numPr>
          <w:ilvl w:val="0"/>
          <w:numId w:val="1003"/>
        </w:numPr>
      </w:pPr>
      <w:r>
        <w:t xml:space="preserve">an honest transfer protocol for larger datasets that preserves academic integrity by separating executed results from planned extensions.</w:t>
      </w:r>
    </w:p>
    <w:bookmarkEnd w:id="26"/>
    <w:bookmarkStart w:id="27" w:name="structure-of-the-manuscript"/>
    <w:p>
      <w:pPr>
        <w:pStyle w:val="Heading2"/>
      </w:pPr>
      <w:r>
        <w:t xml:space="preserve">1.6 Structure of the manuscript</w:t>
      </w:r>
    </w:p>
    <w:p>
      <w:pPr>
        <w:pStyle w:val="FirstParagraph"/>
      </w:pPr>
      <w:r>
        <w:t xml:space="preserve">The remainder of this manuscript is organized as follows. Chapter 2 reviews the most relevant literature. Chapter 3 presents the methodology, including the dataset, architecture, threat model, attack configuration, defense strategy, and evaluation metrics. Chapter 4 reports and analyzes the results. Chapter 5 discusses the meaning, limitations, and implications of the findings. Chapter 6 concludes the study and proposes future work.</w:t>
      </w:r>
    </w:p>
    <w:bookmarkEnd w:id="27"/>
    <w:bookmarkEnd w:id="28"/>
    <w:bookmarkStart w:id="35" w:name="review-of-related-literature"/>
    <w:p>
      <w:pPr>
        <w:pStyle w:val="Heading1"/>
      </w:pPr>
      <w:r>
        <w:t xml:space="preserve">2. Review of Related Literature</w:t>
      </w:r>
    </w:p>
    <w:bookmarkStart w:id="29" w:name="X4095d17581908b853385007ddc9938b178ee484"/>
    <w:p>
      <w:pPr>
        <w:pStyle w:val="Heading2"/>
      </w:pPr>
      <w:r>
        <w:t xml:space="preserve">2.1 Adversarial examples as a structural weakness</w:t>
      </w:r>
    </w:p>
    <w:p>
      <w:pPr>
        <w:pStyle w:val="FirstParagraph"/>
      </w:pPr>
      <w:r>
        <w:t xml:space="preserve">Goodfellow, Shlens, and Szegedy argued that adversarial vulnerability is not simply a result of overfitting or random failure. Instead, it is closely related to the locally linear behavior of many modern models in high-dimensional input spaces. Their work introduced the Fast Gradient Sign Method and helped establish adversarial examples as a systematic property of learned classifiers rather than as rare anomalies.</w:t>
      </w:r>
    </w:p>
    <w:p>
      <w:pPr>
        <w:pStyle w:val="BodyText"/>
      </w:pPr>
      <w:r>
        <w:t xml:space="preserve">This insight changed the way researchers think about model evaluation. If a classifier can be made to fail with small gradient-aligned perturbations, then standard test accuracy reflects only one operating condition. It does not capture the model’s worst-case local behavior.</w:t>
      </w:r>
    </w:p>
    <w:bookmarkEnd w:id="29"/>
    <w:bookmarkStart w:id="30" w:name="fgsm-as-an-interpretable-first-attack"/>
    <w:p>
      <w:pPr>
        <w:pStyle w:val="Heading2"/>
      </w:pPr>
      <w:r>
        <w:t xml:space="preserve">2.2 FGSM as an interpretable first attack</w:t>
      </w:r>
    </w:p>
    <w:p>
      <w:pPr>
        <w:pStyle w:val="FirstParagraph"/>
      </w:pPr>
      <w:r>
        <w:t xml:space="preserve">FGSM remains one of the most important attacks in the literature because of its simplicity and interpretability. It computes the gradient of the loss with respect to the input and takes one step in the sign direction of that gradient. This makes FGSM computationally cheap and useful for teaching, debugging, and quick stress testing.</w:t>
      </w:r>
    </w:p>
    <w:p>
      <w:pPr>
        <w:pStyle w:val="BodyText"/>
      </w:pPr>
      <w:r>
        <w:t xml:space="preserve">However, FGSM is also limited. Because it uses only a single step, it may fail to find stronger adversarial directions that iterative attacks can discover. For this reason, FGSM is often best understood as a minimum standard rather than a final robustness test.</w:t>
      </w:r>
    </w:p>
    <w:bookmarkEnd w:id="30"/>
    <w:bookmarkStart w:id="31" w:name="pgd-as-a-stronger-first-order-adversary"/>
    <w:p>
      <w:pPr>
        <w:pStyle w:val="Heading2"/>
      </w:pPr>
      <w:r>
        <w:t xml:space="preserve">2.3 PGD as a stronger first-order adversary</w:t>
      </w:r>
    </w:p>
    <w:p>
      <w:pPr>
        <w:pStyle w:val="FirstParagraph"/>
      </w:pPr>
      <w:r>
        <w:t xml:space="preserve">Madry and colleagues reframed adversarial robustness as a robust optimization problem. Their formulation emphasized the inner maximization over bounded perturbations and promoted PGD as a strong first-order adversary. PGD repeatedly moves the input in a loss-increasing direction and projects the perturbed sample back into the allowed threat set. In practice, this makes PGD more destructive and more faithful to worst-case local behavior than one-step attacks.</w:t>
      </w:r>
    </w:p>
    <w:p>
      <w:pPr>
        <w:pStyle w:val="BodyText"/>
      </w:pPr>
      <w:r>
        <w:t xml:space="preserve">The importance of PGD in academic work is methodological as much as empirical. A defense that looks good under FGSM may still fail badly under PGD. Therefore, PGD is widely used as a more credible stress test in adversarial evaluation.</w:t>
      </w:r>
    </w:p>
    <w:bookmarkEnd w:id="31"/>
    <w:bookmarkStart w:id="32" w:name="adversarial-training-as-defense"/>
    <w:p>
      <w:pPr>
        <w:pStyle w:val="Heading2"/>
      </w:pPr>
      <w:r>
        <w:t xml:space="preserve">2.4 Adversarial training as defense</w:t>
      </w:r>
    </w:p>
    <w:p>
      <w:pPr>
        <w:pStyle w:val="FirstParagraph"/>
      </w:pPr>
      <w:r>
        <w:t xml:space="preserve">Adversarial training changes the training objective itself. Instead of optimizing the model only on clean inputs, the model is trained on a mixture of clean and adversarial examples. This encourages the network to learn decision boundaries that are more stable inside a bounded perturbation region.</w:t>
      </w:r>
    </w:p>
    <w:p>
      <w:pPr>
        <w:pStyle w:val="BodyText"/>
      </w:pPr>
      <w:r>
        <w:t xml:space="preserve">Although adversarial training is not perfect, it remains one of the strongest baseline defenses against first-order attacks. It is attractive in student and graduate research because it is conceptually clean: the defense is built into the learning process rather than added as a separate post-processing step.</w:t>
      </w:r>
    </w:p>
    <w:bookmarkEnd w:id="32"/>
    <w:bookmarkStart w:id="33" w:name="the-robustness-accuracy-trade-off"/>
    <w:p>
      <w:pPr>
        <w:pStyle w:val="Heading2"/>
      </w:pPr>
      <w:r>
        <w:t xml:space="preserve">2.5 The robustness-accuracy trade-off</w:t>
      </w:r>
    </w:p>
    <w:p>
      <w:pPr>
        <w:pStyle w:val="FirstParagraph"/>
      </w:pPr>
      <w:r>
        <w:t xml:space="preserve">Later work, especially TRADES, formalized an important insight: robustness and clean accuracy often compete. A model optimized too strongly for natural accuracy may become brittle, while a model optimized for robustness may lose some clean performance and require more careful training. This trade-off is not a weakness of robust learning. It is a central research reality.</w:t>
      </w:r>
    </w:p>
    <w:p>
      <w:pPr>
        <w:pStyle w:val="BodyText"/>
      </w:pPr>
      <w:r>
        <w:t xml:space="preserve">For this reason, strong adversarial-robustness studies should always report clean accuracy and robust accuracy separately. Merging them into a single number hides the real behavior of the model.</w:t>
      </w:r>
    </w:p>
    <w:bookmarkEnd w:id="33"/>
    <w:bookmarkStart w:id="34" w:name="position-of-the-present-study"/>
    <w:p>
      <w:pPr>
        <w:pStyle w:val="Heading2"/>
      </w:pPr>
      <w:r>
        <w:t xml:space="preserve">2.6 Position of the present study</w:t>
      </w:r>
    </w:p>
    <w:p>
      <w:pPr>
        <w:pStyle w:val="FirstParagraph"/>
      </w:pPr>
      <w:r>
        <w:t xml:space="preserve">The present study follows this literature in a disciplined but modest way. It does not claim large-scale state-of-the-art performance. Instead, it uses a small executable benchmark to demonstrate the full logic of robust evaluation. The emphasis is on reproducibility, clarity, and honest academic framing. The local benchmark is used for executed results, while MNIST and CIFAR-10 are kept as a documented extension path rather than being presented as completed experiments.</w:t>
      </w:r>
    </w:p>
    <w:bookmarkEnd w:id="34"/>
    <w:bookmarkEnd w:id="35"/>
    <w:bookmarkStart w:id="46" w:name="methodology"/>
    <w:p>
      <w:pPr>
        <w:pStyle w:val="Heading1"/>
      </w:pPr>
      <w:r>
        <w:t xml:space="preserve">3. Methodology</w:t>
      </w:r>
    </w:p>
    <w:bookmarkStart w:id="36" w:name="research-design"/>
    <w:p>
      <w:pPr>
        <w:pStyle w:val="Heading2"/>
      </w:pPr>
      <w:r>
        <w:t xml:space="preserve">3.1 Research design</w:t>
      </w:r>
    </w:p>
    <w:p>
      <w:pPr>
        <w:pStyle w:val="FirstParagraph"/>
      </w:pPr>
      <w:r>
        <w:t xml:space="preserve">This work uses an experimental comparative design. Two versions of the same architecture are studied:</w:t>
      </w:r>
    </w:p>
    <w:p>
      <w:pPr>
        <w:pStyle w:val="Compact"/>
        <w:numPr>
          <w:ilvl w:val="0"/>
          <w:numId w:val="1004"/>
        </w:numPr>
      </w:pPr>
      <w:r>
        <w:t xml:space="preserve">a baseline model trained only on clean data;</w:t>
      </w:r>
    </w:p>
    <w:p>
      <w:pPr>
        <w:pStyle w:val="Compact"/>
        <w:numPr>
          <w:ilvl w:val="0"/>
          <w:numId w:val="1004"/>
        </w:numPr>
      </w:pPr>
      <w:r>
        <w:t xml:space="preserve">a defended model trained with adversarial augmentation.</w:t>
      </w:r>
    </w:p>
    <w:p>
      <w:pPr>
        <w:pStyle w:val="FirstParagraph"/>
      </w:pPr>
      <w:r>
        <w:t xml:space="preserve">Each model is evaluated on clean test data and under two adversarial attacks. The logic of the design is simple and strong. First, train a model under standard conditions. Second, test whether the model remains stable under attack. Third, apply a defense and re-evaluate the same model family. This sequence allows a direct analysis of vulnerability, failure, and partial recovery.</w:t>
      </w:r>
    </w:p>
    <w:bookmarkEnd w:id="36"/>
    <w:bookmarkStart w:id="37" w:name="dataset-and-execution-setting"/>
    <w:p>
      <w:pPr>
        <w:pStyle w:val="Heading2"/>
      </w:pPr>
      <w:r>
        <w:t xml:space="preserve">3.2 Dataset and execution setting</w:t>
      </w:r>
    </w:p>
    <w:p>
      <w:pPr>
        <w:pStyle w:val="FirstParagraph"/>
      </w:pPr>
      <w:r>
        <w:t xml:space="preserve">The empirical results are produced on the scikit-learn digits dataset. This dataset contains 1,797 grayscale images of handwritten digits, each represented as an 8 x 8 image and assigned to one of ten classes. The dataset is small enough to run locally and quickly in a constrained environment, but it still contains the essential geometry needed to study adversarial perturbations in image classification.</w:t>
      </w:r>
    </w:p>
    <w:p>
      <w:pPr>
        <w:pStyle w:val="BodyText"/>
      </w:pPr>
      <w:r>
        <w:t xml:space="preserve">The data are normalized to the range [0, 1]. A stratified train-test split is used to preserve class balance. The local execution environment is CPU-based, and the experiment is implemented in Python with PyTorch, NumPy, Matplotlib, and scikit-learn.</w:t>
      </w:r>
    </w:p>
    <w:bookmarkEnd w:id="37"/>
    <w:bookmarkStart w:id="38" w:name="baseline-model-architecture"/>
    <w:p>
      <w:pPr>
        <w:pStyle w:val="Heading2"/>
      </w:pPr>
      <w:r>
        <w:t xml:space="preserve">3.3 Baseline model architecture</w:t>
      </w:r>
    </w:p>
    <w:p>
      <w:pPr>
        <w:pStyle w:val="FirstParagraph"/>
      </w:pPr>
      <w:r>
        <w:t xml:space="preserve">The classifier is a multilayer perceptron with the following structure:</w:t>
      </w:r>
    </w:p>
    <w:p>
      <w:pPr>
        <w:pStyle w:val="Compact"/>
        <w:numPr>
          <w:ilvl w:val="0"/>
          <w:numId w:val="1005"/>
        </w:numPr>
      </w:pPr>
      <w:r>
        <w:t xml:space="preserve">input layer: 64 features;</w:t>
      </w:r>
    </w:p>
    <w:p>
      <w:pPr>
        <w:pStyle w:val="Compact"/>
        <w:numPr>
          <w:ilvl w:val="0"/>
          <w:numId w:val="1005"/>
        </w:numPr>
      </w:pPr>
      <w:r>
        <w:t xml:space="preserve">first hidden layer: 128 units with ReLU;</w:t>
      </w:r>
    </w:p>
    <w:p>
      <w:pPr>
        <w:pStyle w:val="Compact"/>
        <w:numPr>
          <w:ilvl w:val="0"/>
          <w:numId w:val="1005"/>
        </w:numPr>
      </w:pPr>
      <w:r>
        <w:t xml:space="preserve">dropout layer: probability 0.20;</w:t>
      </w:r>
    </w:p>
    <w:p>
      <w:pPr>
        <w:pStyle w:val="Compact"/>
        <w:numPr>
          <w:ilvl w:val="0"/>
          <w:numId w:val="1005"/>
        </w:numPr>
      </w:pPr>
      <w:r>
        <w:t xml:space="preserve">second hidden layer: 64 units with ReLU;</w:t>
      </w:r>
    </w:p>
    <w:p>
      <w:pPr>
        <w:pStyle w:val="Compact"/>
        <w:numPr>
          <w:ilvl w:val="0"/>
          <w:numId w:val="1005"/>
        </w:numPr>
      </w:pPr>
      <w:r>
        <w:t xml:space="preserve">output layer: 10 logits.</w:t>
      </w:r>
    </w:p>
    <w:p>
      <w:pPr>
        <w:pStyle w:val="FirstParagraph"/>
      </w:pPr>
      <w:r>
        <w:t xml:space="preserve">The model is trained for 20 epochs with Adam optimization and a learning rate of 0.001. This architecture is intentionally simple. Its purpose is not to maximize benchmark performance, but to make adversarial behavior easy to observe and explain.</w:t>
      </w:r>
    </w:p>
    <w:bookmarkEnd w:id="38"/>
    <w:bookmarkStart w:id="39" w:name="threat-model"/>
    <w:p>
      <w:pPr>
        <w:pStyle w:val="Heading2"/>
      </w:pPr>
      <w:r>
        <w:t xml:space="preserve">3.4 Threat model</w:t>
      </w:r>
    </w:p>
    <w:p>
      <w:pPr>
        <w:pStyle w:val="FirstParagraph"/>
      </w:pPr>
      <w:r>
        <w:t xml:space="preserve">The study assumes a white-box first-order adversary. This means that the attacker has access to the model parameters and gradients. Perturbations are constrained by an l-infinity budget, so each input feature can change only within a bounded range. This is a standard and academically defensible threat model for introductory robustness research.</w:t>
      </w:r>
    </w:p>
    <w:p>
      <w:pPr>
        <w:pStyle w:val="BodyText"/>
      </w:pPr>
      <w:r>
        <w:t xml:space="preserve">The robust optimization problem can be expressed as:</w:t>
      </w:r>
    </w:p>
    <w:p>
      <w:pPr>
        <w:pStyle w:val="BodyText"/>
      </w:pPr>
      <w:r>
        <w:t xml:space="preserve">minimize over model parameters theta the expected maximum loss over all perturbations delta such that the infinity norm of delta is less than or equal to epsilon.</w:t>
      </w:r>
    </w:p>
    <w:p>
      <w:pPr>
        <w:pStyle w:val="BodyText"/>
      </w:pPr>
      <w:r>
        <w:t xml:space="preserve">This formulation captures the core question of adversarial robustness: can the model remain correct inside a small neighborhood around the original input?</w:t>
      </w:r>
    </w:p>
    <w:bookmarkEnd w:id="39"/>
    <w:bookmarkStart w:id="42" w:name="attack-configuration"/>
    <w:p>
      <w:pPr>
        <w:pStyle w:val="Heading2"/>
      </w:pPr>
      <w:r>
        <w:t xml:space="preserve">3.5 Attack configuration</w:t>
      </w:r>
    </w:p>
    <w:p>
      <w:pPr>
        <w:pStyle w:val="FirstParagraph"/>
      </w:pPr>
      <w:r>
        <w:t xml:space="preserve">Two attacks are used.</w:t>
      </w:r>
    </w:p>
    <w:bookmarkStart w:id="40" w:name="fast-gradient-sign-method"/>
    <w:p>
      <w:pPr>
        <w:pStyle w:val="Heading3"/>
      </w:pPr>
      <w:r>
        <w:t xml:space="preserve">3.5.1 Fast Gradient Sign Method</w:t>
      </w:r>
    </w:p>
    <w:p>
      <w:pPr>
        <w:pStyle w:val="FirstParagraph"/>
      </w:pPr>
      <w:r>
        <w:t xml:space="preserve">FGSM computes a single perturbation step based on the sign of the input gradient. In this experiment, FGSM is used with epsilon = 0.15 for the headline comparison.</w:t>
      </w:r>
    </w:p>
    <w:p>
      <w:pPr>
        <w:pStyle w:val="BodyText"/>
      </w:pPr>
      <w:r>
        <w:t xml:space="preserve">Operationally, FGSM:</w:t>
      </w:r>
    </w:p>
    <w:p>
      <w:pPr>
        <w:pStyle w:val="Compact"/>
        <w:numPr>
          <w:ilvl w:val="0"/>
          <w:numId w:val="1006"/>
        </w:numPr>
      </w:pPr>
      <w:r>
        <w:t xml:space="preserve">computes the gradient of the loss with respect to the input;</w:t>
      </w:r>
    </w:p>
    <w:p>
      <w:pPr>
        <w:pStyle w:val="Compact"/>
        <w:numPr>
          <w:ilvl w:val="0"/>
          <w:numId w:val="1006"/>
        </w:numPr>
      </w:pPr>
      <w:r>
        <w:t xml:space="preserve">takes one step in the direction that increases the loss;</w:t>
      </w:r>
    </w:p>
    <w:p>
      <w:pPr>
        <w:pStyle w:val="Compact"/>
        <w:numPr>
          <w:ilvl w:val="0"/>
          <w:numId w:val="1006"/>
        </w:numPr>
      </w:pPr>
      <w:r>
        <w:t xml:space="preserve">clips the final input to remain inside the valid data range.</w:t>
      </w:r>
    </w:p>
    <w:bookmarkEnd w:id="40"/>
    <w:bookmarkStart w:id="41" w:name="projected-gradient-descent"/>
    <w:p>
      <w:pPr>
        <w:pStyle w:val="Heading3"/>
      </w:pPr>
      <w:r>
        <w:t xml:space="preserve">3.5.2 Projected Gradient Descent</w:t>
      </w:r>
    </w:p>
    <w:p>
      <w:pPr>
        <w:pStyle w:val="FirstParagraph"/>
      </w:pPr>
      <w:r>
        <w:t xml:space="preserve">PGD uses multiple iterative steps and projection back into the epsilon-ball around the original input. In this experiment, PGD is used with:</w:t>
      </w:r>
    </w:p>
    <w:p>
      <w:pPr>
        <w:pStyle w:val="Compact"/>
        <w:numPr>
          <w:ilvl w:val="0"/>
          <w:numId w:val="1007"/>
        </w:numPr>
      </w:pPr>
      <w:r>
        <w:t xml:space="preserve">epsilon = 0.20;</w:t>
      </w:r>
    </w:p>
    <w:p>
      <w:pPr>
        <w:pStyle w:val="Compact"/>
        <w:numPr>
          <w:ilvl w:val="0"/>
          <w:numId w:val="1007"/>
        </w:numPr>
      </w:pPr>
      <w:r>
        <w:t xml:space="preserve">step size alpha = 0.04;</w:t>
      </w:r>
    </w:p>
    <w:p>
      <w:pPr>
        <w:pStyle w:val="Compact"/>
        <w:numPr>
          <w:ilvl w:val="0"/>
          <w:numId w:val="1007"/>
        </w:numPr>
      </w:pPr>
      <w:r>
        <w:t xml:space="preserve">number of steps = 10.</w:t>
      </w:r>
    </w:p>
    <w:p>
      <w:pPr>
        <w:pStyle w:val="FirstParagraph"/>
      </w:pPr>
      <w:r>
        <w:t xml:space="preserve">Because PGD searches more aggressively for a damaging perturbation, it is expected to expose stronger failure than FGSM.</w:t>
      </w:r>
    </w:p>
    <w:bookmarkEnd w:id="41"/>
    <w:bookmarkEnd w:id="42"/>
    <w:bookmarkStart w:id="43" w:name="defense-configuration"/>
    <w:p>
      <w:pPr>
        <w:pStyle w:val="Heading2"/>
      </w:pPr>
      <w:r>
        <w:t xml:space="preserve">3.6 Defense configuration</w:t>
      </w:r>
    </w:p>
    <w:p>
      <w:pPr>
        <w:pStyle w:val="FirstParagraph"/>
      </w:pPr>
      <w:r>
        <w:t xml:space="preserve">The defense is FGSM-based adversarial training. After a short clean warm-up of two epochs, each training mini-batch is augmented with adversarial examples generated from the current model. Clean and adversarial samples are concatenated, and the model is optimized on both together.</w:t>
      </w:r>
    </w:p>
    <w:p>
      <w:pPr>
        <w:pStyle w:val="BodyText"/>
      </w:pPr>
      <w:r>
        <w:t xml:space="preserve">This choice has three advantages:</w:t>
      </w:r>
    </w:p>
    <w:p>
      <w:pPr>
        <w:pStyle w:val="Compact"/>
        <w:numPr>
          <w:ilvl w:val="0"/>
          <w:numId w:val="1008"/>
        </w:numPr>
      </w:pPr>
      <w:r>
        <w:t xml:space="preserve">it is simple to explain;</w:t>
      </w:r>
    </w:p>
    <w:p>
      <w:pPr>
        <w:pStyle w:val="Compact"/>
        <w:numPr>
          <w:ilvl w:val="0"/>
          <w:numId w:val="1008"/>
        </w:numPr>
      </w:pPr>
      <w:r>
        <w:t xml:space="preserve">it directly modifies the learning objective;</w:t>
      </w:r>
    </w:p>
    <w:p>
      <w:pPr>
        <w:pStyle w:val="Compact"/>
        <w:numPr>
          <w:ilvl w:val="0"/>
          <w:numId w:val="1008"/>
        </w:numPr>
      </w:pPr>
      <w:r>
        <w:t xml:space="preserve">it is computationally manageable in a small reproducible project.</w:t>
      </w:r>
    </w:p>
    <w:bookmarkEnd w:id="43"/>
    <w:bookmarkStart w:id="44" w:name="evaluation-metrics"/>
    <w:p>
      <w:pPr>
        <w:pStyle w:val="Heading2"/>
      </w:pPr>
      <w:r>
        <w:t xml:space="preserve">3.7 Evaluation metrics</w:t>
      </w:r>
    </w:p>
    <w:p>
      <w:pPr>
        <w:pStyle w:val="FirstParagraph"/>
      </w:pPr>
      <w:r>
        <w:t xml:space="preserve">The study uses the following metrics:</w:t>
      </w:r>
    </w:p>
    <w:p>
      <w:pPr>
        <w:pStyle w:val="Compact"/>
        <w:numPr>
          <w:ilvl w:val="0"/>
          <w:numId w:val="1009"/>
        </w:numPr>
      </w:pPr>
      <w:r>
        <w:t xml:space="preserve">clean accuracy;</w:t>
      </w:r>
    </w:p>
    <w:p>
      <w:pPr>
        <w:pStyle w:val="Compact"/>
        <w:numPr>
          <w:ilvl w:val="0"/>
          <w:numId w:val="1009"/>
        </w:numPr>
      </w:pPr>
      <w:r>
        <w:t xml:space="preserve">macro-F1 score on clean data;</w:t>
      </w:r>
    </w:p>
    <w:p>
      <w:pPr>
        <w:pStyle w:val="Compact"/>
        <w:numPr>
          <w:ilvl w:val="0"/>
          <w:numId w:val="1009"/>
        </w:numPr>
      </w:pPr>
      <w:r>
        <w:t xml:space="preserve">FGSM accuracy;</w:t>
      </w:r>
    </w:p>
    <w:p>
      <w:pPr>
        <w:pStyle w:val="Compact"/>
        <w:numPr>
          <w:ilvl w:val="0"/>
          <w:numId w:val="1009"/>
        </w:numPr>
      </w:pPr>
      <w:r>
        <w:t xml:space="preserve">PGD accuracy.</w:t>
      </w:r>
    </w:p>
    <w:p>
      <w:pPr>
        <w:pStyle w:val="FirstParagraph"/>
      </w:pPr>
      <w:r>
        <w:t xml:space="preserve">These metrics are reported separately because robust performance is not equivalent to natural performance. In addition to headline metrics, the project also uses qualitative examples, loss curves, validation curves, and confusion analysis.</w:t>
      </w:r>
    </w:p>
    <w:bookmarkEnd w:id="44"/>
    <w:bookmarkStart w:id="45" w:name="reproducibility-protocol"/>
    <w:p>
      <w:pPr>
        <w:pStyle w:val="Heading2"/>
      </w:pPr>
      <w:r>
        <w:t xml:space="preserve">3.8 Reproducibility protocol</w:t>
      </w:r>
    </w:p>
    <w:p>
      <w:pPr>
        <w:pStyle w:val="FirstParagraph"/>
      </w:pPr>
      <w:r>
        <w:t xml:space="preserve">Reproducibility is treated as part of the method, not as an afterthought. The project includes:</w:t>
      </w:r>
    </w:p>
    <w:p>
      <w:pPr>
        <w:pStyle w:val="Compact"/>
        <w:numPr>
          <w:ilvl w:val="0"/>
          <w:numId w:val="1010"/>
        </w:numPr>
      </w:pPr>
      <w:r>
        <w:t xml:space="preserve">the main experiment script;</w:t>
      </w:r>
    </w:p>
    <w:p>
      <w:pPr>
        <w:pStyle w:val="Compact"/>
        <w:numPr>
          <w:ilvl w:val="0"/>
          <w:numId w:val="1010"/>
        </w:numPr>
      </w:pPr>
      <w:r>
        <w:t xml:space="preserve">saved headline metrics in JSON and CSV;</w:t>
      </w:r>
    </w:p>
    <w:p>
      <w:pPr>
        <w:pStyle w:val="Compact"/>
        <w:numPr>
          <w:ilvl w:val="0"/>
          <w:numId w:val="1010"/>
        </w:numPr>
      </w:pPr>
      <w:r>
        <w:t xml:space="preserve">figures generated from the executed run;</w:t>
      </w:r>
    </w:p>
    <w:p>
      <w:pPr>
        <w:pStyle w:val="Compact"/>
        <w:numPr>
          <w:ilvl w:val="0"/>
          <w:numId w:val="1010"/>
        </w:numPr>
      </w:pPr>
      <w:r>
        <w:t xml:space="preserve">a GitHub-ready folder structure for public presentation;</w:t>
      </w:r>
    </w:p>
    <w:p>
      <w:pPr>
        <w:pStyle w:val="Compact"/>
        <w:numPr>
          <w:ilvl w:val="0"/>
          <w:numId w:val="1010"/>
        </w:numPr>
      </w:pPr>
      <w:r>
        <w:t xml:space="preserve">a static dashboard design that can be published through GitHub Pages.</w:t>
      </w:r>
    </w:p>
    <w:p>
      <w:pPr>
        <w:pStyle w:val="FirstParagraph"/>
      </w:pPr>
      <w:r>
        <w:t xml:space="preserve">This is important academically because it allows the work to be reviewed, repeated, and extended.</w:t>
      </w:r>
    </w:p>
    <w:bookmarkEnd w:id="45"/>
    <w:bookmarkEnd w:id="46"/>
    <w:bookmarkStart w:id="53" w:name="results-and-analysis"/>
    <w:p>
      <w:pPr>
        <w:pStyle w:val="Heading1"/>
      </w:pPr>
      <w:r>
        <w:t xml:space="preserve">4. Results and Analysis</w:t>
      </w:r>
    </w:p>
    <w:bookmarkStart w:id="47" w:name="headline-performance"/>
    <w:p>
      <w:pPr>
        <w:pStyle w:val="Heading2"/>
      </w:pPr>
      <w:r>
        <w:t xml:space="preserve">4.1 Headline performance</w:t>
      </w:r>
    </w:p>
    <w:p>
      <w:pPr>
        <w:pStyle w:val="FirstParagraph"/>
      </w:pPr>
      <w:r>
        <w:t xml:space="preserve">Table 1 presents the main findings of the study.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Clean Accuracy</w:t>
            </w:r>
          </w:p>
        </w:tc>
        <w:tc>
          <w:tcPr/>
          <w:p>
            <w:pPr>
              <w:pStyle w:val="Compact"/>
              <w:jc w:val="right"/>
            </w:pPr>
            <w:r>
              <w:t xml:space="preserve">Macro-F1</w:t>
            </w:r>
          </w:p>
        </w:tc>
        <w:tc>
          <w:tcPr/>
          <w:p>
            <w:pPr>
              <w:pStyle w:val="Compact"/>
              <w:jc w:val="right"/>
            </w:pPr>
            <w:r>
              <w:t xml:space="preserve">FGSM Accuracy</w:t>
            </w:r>
          </w:p>
        </w:tc>
        <w:tc>
          <w:tcPr/>
          <w:p>
            <w:pPr>
              <w:pStyle w:val="Compact"/>
              <w:jc w:val="right"/>
            </w:pPr>
            <w:r>
              <w:t xml:space="preserve">PGD Accuracy</w:t>
            </w:r>
          </w:p>
        </w:tc>
      </w:tr>
      <w:tr>
        <w:tc>
          <w:tcPr/>
          <w:p>
            <w:pPr>
              <w:pStyle w:val="Compact"/>
              <w:jc w:val="left"/>
            </w:pPr>
            <w:r>
              <w:t xml:space="preserve">Baseline MLP</w:t>
            </w:r>
          </w:p>
        </w:tc>
        <w:tc>
          <w:tcPr/>
          <w:p>
            <w:pPr>
              <w:pStyle w:val="Compact"/>
              <w:jc w:val="right"/>
            </w:pPr>
            <w:r>
              <w:t xml:space="preserve">96.67%</w:t>
            </w:r>
          </w:p>
        </w:tc>
        <w:tc>
          <w:tcPr/>
          <w:p>
            <w:pPr>
              <w:pStyle w:val="Compact"/>
              <w:jc w:val="right"/>
            </w:pPr>
            <w:r>
              <w:t xml:space="preserve">0.9665</w:t>
            </w:r>
          </w:p>
        </w:tc>
        <w:tc>
          <w:tcPr/>
          <w:p>
            <w:pPr>
              <w:pStyle w:val="Compact"/>
              <w:jc w:val="right"/>
            </w:pPr>
            <w:r>
              <w:t xml:space="preserve">21.11%</w:t>
            </w:r>
          </w:p>
        </w:tc>
        <w:tc>
          <w:tcPr/>
          <w:p>
            <w:pPr>
              <w:pStyle w:val="Compact"/>
              <w:jc w:val="right"/>
            </w:pPr>
            <w:r>
              <w:t xml:space="preserve">0.28%</w:t>
            </w:r>
          </w:p>
        </w:tc>
      </w:tr>
      <w:tr>
        <w:tc>
          <w:tcPr/>
          <w:p>
            <w:pPr>
              <w:pStyle w:val="Compact"/>
              <w:jc w:val="left"/>
            </w:pPr>
            <w:r>
              <w:t xml:space="preserve">Adversarially trained MLP</w:t>
            </w:r>
          </w:p>
        </w:tc>
        <w:tc>
          <w:tcPr/>
          <w:p>
            <w:pPr>
              <w:pStyle w:val="Compact"/>
              <w:jc w:val="right"/>
            </w:pPr>
            <w:r>
              <w:t xml:space="preserve">96.39%</w:t>
            </w:r>
          </w:p>
        </w:tc>
        <w:tc>
          <w:tcPr/>
          <w:p>
            <w:pPr>
              <w:pStyle w:val="Compact"/>
              <w:jc w:val="right"/>
            </w:pPr>
            <w:r>
              <w:t xml:space="preserve">0.9634</w:t>
            </w:r>
          </w:p>
        </w:tc>
        <w:tc>
          <w:tcPr/>
          <w:p>
            <w:pPr>
              <w:pStyle w:val="Compact"/>
              <w:jc w:val="right"/>
            </w:pPr>
            <w:r>
              <w:t xml:space="preserve">58.89%</w:t>
            </w:r>
          </w:p>
        </w:tc>
        <w:tc>
          <w:tcPr/>
          <w:p>
            <w:pPr>
              <w:pStyle w:val="Compact"/>
              <w:jc w:val="right"/>
            </w:pPr>
            <w:r>
              <w:t xml:space="preserve">30.28%</w:t>
            </w:r>
          </w:p>
        </w:tc>
      </w:tr>
    </w:tbl>
    <w:p>
      <w:pPr>
        <w:pStyle w:val="BodyText"/>
      </w:pPr>
      <w:r>
        <w:t xml:space="preserve">These numbers reveal the most important result of the project. The baseline model appears very strong under normal testing, but it collapses under attack. The clean accuracy is above 96%, yet PGD reduces the model to almost complete failure. This means that the baseline network has learned a highly brittle decision boundary.</w:t>
      </w:r>
    </w:p>
    <w:p>
      <w:pPr>
        <w:pStyle w:val="BodyText"/>
      </w:pPr>
      <w:r>
        <w:t xml:space="preserve">The defended model tells a different story. Its clean accuracy remains almost unchanged, dropping by only 0.28 percentage points. At the same time, its robustness improves sharply: FGSM accuracy increases by 37.78 percentage points, and PGD accuracy increases by 30.00 percentage points. These gains are too large to dismiss as noise or minor variation. They represent a meaningful change in model behavior.</w:t>
      </w:r>
    </w:p>
    <w:bookmarkEnd w:id="47"/>
    <w:bookmarkStart w:id="48" w:name="clean-learning-versus-robust-learning"/>
    <w:p>
      <w:pPr>
        <w:pStyle w:val="Heading2"/>
      </w:pPr>
      <w:r>
        <w:t xml:space="preserve">4.2 Clean learning versus robust learning</w:t>
      </w:r>
    </w:p>
    <w:p>
      <w:pPr>
        <w:pStyle w:val="FirstParagraph"/>
      </w:pPr>
      <w:r>
        <w:t xml:space="preserve">The learning curves show that adversarial training is harder to optimize than clean training. Training loss decreases more slowly, and the defended model carries a higher optimization burden during learning. This is expected. Robust learning asks the model to perform well not only on each clean point, but also inside a neighborhood around that point.</w:t>
      </w:r>
    </w:p>
    <w:p>
      <w:pPr>
        <w:pStyle w:val="BodyText"/>
      </w:pPr>
      <w:r>
        <w:t xml:space="preserve">Despite this extra burden, the defended model still preserves strong validation accuracy on clean data. This is an important academic outcome. It shows that, at least in this small benchmark, robustness does not require a catastrophic clean-accuracy sacrifice.</w:t>
      </w:r>
    </w:p>
    <w:bookmarkEnd w:id="48"/>
    <w:bookmarkStart w:id="49" w:name="why-pgd-is-the-decisive-test"/>
    <w:p>
      <w:pPr>
        <w:pStyle w:val="Heading2"/>
      </w:pPr>
      <w:r>
        <w:t xml:space="preserve">4.3 Why PGD is the decisive test</w:t>
      </w:r>
    </w:p>
    <w:p>
      <w:pPr>
        <w:pStyle w:val="FirstParagraph"/>
      </w:pPr>
      <w:r>
        <w:t xml:space="preserve">FGSM is useful because it reveals immediate vulnerability. However, PGD is the more decisive attack in this study. The gap between the FGSM result and the PGD result is substantial. The baseline model falls to 21.11% under FGSM, but almost completely collapses under PGD to 0.28%.</w:t>
      </w:r>
    </w:p>
    <w:p>
      <w:pPr>
        <w:pStyle w:val="BodyText"/>
      </w:pPr>
      <w:r>
        <w:t xml:space="preserve">This difference matters because it changes the interpretation of model reliability. If evaluation stopped at FGSM, one might conclude that the model is weak but not completely broken. PGD shows a harsher truth. The local geometry around many samples is fragile enough that an iterative first-order attacker can drive the model toward near-random behavior.</w:t>
      </w:r>
    </w:p>
    <w:bookmarkEnd w:id="49"/>
    <w:bookmarkStart w:id="50" w:name="qualitative-adversarial-evidence"/>
    <w:p>
      <w:pPr>
        <w:pStyle w:val="Heading2"/>
      </w:pPr>
      <w:r>
        <w:t xml:space="preserve">4.4 Qualitative adversarial evidence</w:t>
      </w:r>
    </w:p>
    <w:p>
      <w:pPr>
        <w:pStyle w:val="FirstParagraph"/>
      </w:pPr>
      <w:r>
        <w:t xml:space="preserve">The adversarial examples generated in the project provide visual support for the numerical findings. The perturbations are small, yet they often redirect the model’s prediction. This is persuasive in oral and written defense because the failure is not abstract. One can see the original image, the perturbed image, and the change in prediction.</w:t>
      </w:r>
    </w:p>
    <w:p>
      <w:pPr>
        <w:pStyle w:val="BodyText"/>
      </w:pPr>
      <w:r>
        <w:t xml:space="preserve">Qualitative evidence is important because it reminds the reader that adversarial failure is structured. The model is not making random mistakes. It is being guided into error through the very gradients it learned during training.</w:t>
      </w:r>
    </w:p>
    <w:bookmarkEnd w:id="50"/>
    <w:bookmarkStart w:id="51" w:name="confusion-shift-under-attack"/>
    <w:p>
      <w:pPr>
        <w:pStyle w:val="Heading2"/>
      </w:pPr>
      <w:r>
        <w:t xml:space="preserve">4.5 Confusion shift under attack</w:t>
      </w:r>
    </w:p>
    <w:p>
      <w:pPr>
        <w:pStyle w:val="FirstParagraph"/>
      </w:pPr>
      <w:r>
        <w:t xml:space="preserve">The confusion analysis provides another useful insight. On clean data, the confusion matrix is strongly diagonal, which means that most samples are assigned to the correct class. Under PGD, this diagonal structure largely disappears. Errors spread across the label space.</w:t>
      </w:r>
    </w:p>
    <w:p>
      <w:pPr>
        <w:pStyle w:val="BodyText"/>
      </w:pPr>
      <w:r>
        <w:t xml:space="preserve">This supports a stronger interpretation of adversarial failure. The attack does not merely reduce confidence around the correct label. It changes the assignment geometry itself. In other words, the classifier becomes globally unstable over the test set once the attack is applied.</w:t>
      </w:r>
    </w:p>
    <w:bookmarkEnd w:id="51"/>
    <w:bookmarkStart w:id="52" w:name="direct-answers-to-the-research-questions"/>
    <w:p>
      <w:pPr>
        <w:pStyle w:val="Heading2"/>
      </w:pPr>
      <w:r>
        <w:t xml:space="preserve">4.6 Direct answers to the research questions</w:t>
      </w:r>
    </w:p>
    <w:p>
      <w:pPr>
        <w:pStyle w:val="FirstParagraph"/>
      </w:pPr>
      <w:r>
        <w:t xml:space="preserve">The empirical findings answer the research questions clearly.</w:t>
      </w:r>
    </w:p>
    <w:p>
      <w:pPr>
        <w:pStyle w:val="BodyText"/>
      </w:pPr>
      <w:r>
        <w:rPr>
          <w:b/>
          <w:bCs/>
        </w:rPr>
        <w:t xml:space="preserve">Research Question 1:</w:t>
      </w:r>
      <w:r>
        <w:t xml:space="preserve"> </w:t>
      </w:r>
      <w:r>
        <w:t xml:space="preserve">The cleanly trained model is highly vulnerable to gradient-based attacks.</w:t>
      </w:r>
    </w:p>
    <w:p>
      <w:pPr>
        <w:pStyle w:val="BodyText"/>
      </w:pPr>
      <w:r>
        <w:rPr>
          <w:b/>
          <w:bCs/>
        </w:rPr>
        <w:t xml:space="preserve">Research Question 2:</w:t>
      </w:r>
      <w:r>
        <w:t xml:space="preserve"> </w:t>
      </w:r>
      <w:r>
        <w:t xml:space="preserve">PGD exposes a much more severe weakness than FGSM and therefore serves as the stronger stress test.</w:t>
      </w:r>
    </w:p>
    <w:p>
      <w:pPr>
        <w:pStyle w:val="BodyText"/>
      </w:pPr>
      <w:r>
        <w:rPr>
          <w:b/>
          <w:bCs/>
        </w:rPr>
        <w:t xml:space="preserve">Research Question 3:</w:t>
      </w:r>
      <w:r>
        <w:t xml:space="preserve"> </w:t>
      </w:r>
      <w:r>
        <w:t xml:space="preserve">Adversarial training improves robustness substantially while preserving most clean accuracy.</w:t>
      </w:r>
    </w:p>
    <w:p>
      <w:pPr>
        <w:pStyle w:val="BodyText"/>
      </w:pPr>
      <w:r>
        <w:rPr>
          <w:b/>
          <w:bCs/>
        </w:rPr>
        <w:t xml:space="preserve">Research Question 4:</w:t>
      </w:r>
      <w:r>
        <w:t xml:space="preserve"> </w:t>
      </w:r>
      <w:r>
        <w:t xml:space="preserve">The project can be extended to larger benchmarks by keeping the same logic and replacing the dataset and architecture with more suitable choices.</w:t>
      </w:r>
    </w:p>
    <w:bookmarkEnd w:id="52"/>
    <w:bookmarkEnd w:id="53"/>
    <w:bookmarkStart w:id="61" w:name="discussion"/>
    <w:p>
      <w:pPr>
        <w:pStyle w:val="Heading1"/>
      </w:pPr>
      <w:r>
        <w:t xml:space="preserve">5. Discussion</w:t>
      </w:r>
    </w:p>
    <w:bookmarkStart w:id="54" w:name="academic-meaning-of-the-findings"/>
    <w:p>
      <w:pPr>
        <w:pStyle w:val="Heading2"/>
      </w:pPr>
      <w:r>
        <w:t xml:space="preserve">5.1 Academic meaning of the findings</w:t>
      </w:r>
    </w:p>
    <w:p>
      <w:pPr>
        <w:pStyle w:val="FirstParagraph"/>
      </w:pPr>
      <w:r>
        <w:t xml:space="preserve">The main academic value of this study is conceptual clarity. The project demonstrates that high accuracy and high reliability are not the same thing. A model can be excellent on clean data and still fail when an attacker applies small gradient-guided changes. This insight matters for any field that uses neural networks in settings where reliability is important.</w:t>
      </w:r>
    </w:p>
    <w:p>
      <w:pPr>
        <w:pStyle w:val="BodyText"/>
      </w:pPr>
      <w:r>
        <w:t xml:space="preserve">The study also reinforces the idea that evaluation quality depends on attack quality. A weak attack can produce a weak conclusion. By including PGD, the project avoids one of the most common problems in beginner robustness work: overstating security on the basis of an easy attack.</w:t>
      </w:r>
    </w:p>
    <w:bookmarkEnd w:id="54"/>
    <w:bookmarkStart w:id="55" w:name="Xf9ec444b994a102765fa98569b5d3ef0606b97d"/>
    <w:p>
      <w:pPr>
        <w:pStyle w:val="Heading2"/>
      </w:pPr>
      <w:r>
        <w:t xml:space="preserve">5.2 Why the defense matters even if it is imperfect</w:t>
      </w:r>
    </w:p>
    <w:p>
      <w:pPr>
        <w:pStyle w:val="FirstParagraph"/>
      </w:pPr>
      <w:r>
        <w:t xml:space="preserve">The defended model is not invincible. Its PGD accuracy is 30.28%, not 100%. This is an important point to state honestly. The purpose of the defense is not to claim perfect protection. The purpose is to demonstrate that training objectives can be changed so that robustness becomes materially better.</w:t>
      </w:r>
    </w:p>
    <w:p>
      <w:pPr>
        <w:pStyle w:val="BodyText"/>
      </w:pPr>
      <w:r>
        <w:t xml:space="preserve">In this sense, the project succeeds. It moves the discussion from collapse to partial resilience. That shift is scientifically meaningful, especially in a small educational benchmark.</w:t>
      </w:r>
    </w:p>
    <w:bookmarkEnd w:id="55"/>
    <w:bookmarkStart w:id="56" w:name="limitations-of-the-present-study"/>
    <w:p>
      <w:pPr>
        <w:pStyle w:val="Heading2"/>
      </w:pPr>
      <w:r>
        <w:t xml:space="preserve">5.3 Limitations of the present study</w:t>
      </w:r>
    </w:p>
    <w:p>
      <w:pPr>
        <w:pStyle w:val="FirstParagraph"/>
      </w:pPr>
      <w:r>
        <w:t xml:space="preserve">This study has several limitations.</w:t>
      </w:r>
    </w:p>
    <w:p>
      <w:pPr>
        <w:pStyle w:val="BodyText"/>
      </w:pPr>
      <w:r>
        <w:t xml:space="preserve">First, the executed benchmark is small. The scikit-learn digits dataset is useful for reproducibility, but it is not as challenging as MNIST or CIFAR-10.</w:t>
      </w:r>
    </w:p>
    <w:p>
      <w:pPr>
        <w:pStyle w:val="BodyText"/>
      </w:pPr>
      <w:r>
        <w:t xml:space="preserve">Second, the architecture is an MLP rather than a convolutional network. This is appropriate for the local proxy benchmark, but it is not the strongest design for image tasks.</w:t>
      </w:r>
    </w:p>
    <w:p>
      <w:pPr>
        <w:pStyle w:val="BodyText"/>
      </w:pPr>
      <w:r>
        <w:t xml:space="preserve">Third, the defense uses FGSM-based adversarial training rather than stronger robust optimization variants or TRADES.</w:t>
      </w:r>
    </w:p>
    <w:p>
      <w:pPr>
        <w:pStyle w:val="BodyText"/>
      </w:pPr>
      <w:r>
        <w:t xml:space="preserve">Fourth, the reported results are local experimental outcomes from the digit proxy, while MNIST and CIFAR-10 remain future benchmark extensions.</w:t>
      </w:r>
    </w:p>
    <w:p>
      <w:pPr>
        <w:pStyle w:val="BodyText"/>
      </w:pPr>
      <w:r>
        <w:t xml:space="preserve">These limitations do not invalidate the work. Instead, they define its scope and make its conclusions more credible because the manuscript does not claim more than the evidence supports.</w:t>
      </w:r>
    </w:p>
    <w:bookmarkEnd w:id="56"/>
    <w:bookmarkStart w:id="57" w:name="why-the-study-is-still-strong"/>
    <w:p>
      <w:pPr>
        <w:pStyle w:val="Heading2"/>
      </w:pPr>
      <w:r>
        <w:t xml:space="preserve">5.4 Why the study is still strong</w:t>
      </w:r>
    </w:p>
    <w:p>
      <w:pPr>
        <w:pStyle w:val="FirstParagraph"/>
      </w:pPr>
      <w:r>
        <w:t xml:space="preserve">Even with these limits, the project remains strong for four reasons.</w:t>
      </w:r>
    </w:p>
    <w:p>
      <w:pPr>
        <w:pStyle w:val="Compact"/>
        <w:numPr>
          <w:ilvl w:val="0"/>
          <w:numId w:val="1011"/>
        </w:numPr>
      </w:pPr>
      <w:r>
        <w:t xml:space="preserve">The research question is important and current.</w:t>
      </w:r>
    </w:p>
    <w:p>
      <w:pPr>
        <w:pStyle w:val="Compact"/>
        <w:numPr>
          <w:ilvl w:val="0"/>
          <w:numId w:val="1011"/>
        </w:numPr>
      </w:pPr>
      <w:r>
        <w:t xml:space="preserve">The experimental logic is complete and easy to defend.</w:t>
      </w:r>
    </w:p>
    <w:p>
      <w:pPr>
        <w:pStyle w:val="Compact"/>
        <w:numPr>
          <w:ilvl w:val="0"/>
          <w:numId w:val="1011"/>
        </w:numPr>
      </w:pPr>
      <w:r>
        <w:t xml:space="preserve">The empirical effect sizes are large and interpretable.</w:t>
      </w:r>
    </w:p>
    <w:p>
      <w:pPr>
        <w:pStyle w:val="Compact"/>
        <w:numPr>
          <w:ilvl w:val="0"/>
          <w:numId w:val="1011"/>
        </w:numPr>
      </w:pPr>
      <w:r>
        <w:t xml:space="preserve">The work is reproducible and presentation-ready.</w:t>
      </w:r>
    </w:p>
    <w:p>
      <w:pPr>
        <w:pStyle w:val="FirstParagraph"/>
      </w:pPr>
      <w:r>
        <w:t xml:space="preserve">For a graduate submission, these qualities matter. A strong academic project is not only about using the largest dataset. It is also about asking a precise question, using a defensible method, and presenting results honestly.</w:t>
      </w:r>
    </w:p>
    <w:bookmarkEnd w:id="57"/>
    <w:bookmarkStart w:id="60" w:name="extension-to-mnist-and-cifar-10"/>
    <w:p>
      <w:pPr>
        <w:pStyle w:val="Heading2"/>
      </w:pPr>
      <w:r>
        <w:t xml:space="preserve">5.5 Extension to MNIST and CIFAR-10</w:t>
      </w:r>
    </w:p>
    <w:p>
      <w:pPr>
        <w:pStyle w:val="FirstParagraph"/>
      </w:pPr>
      <w:r>
        <w:t xml:space="preserve">The next phase of the project should follow a structured transfer protocol.</w:t>
      </w:r>
    </w:p>
    <w:bookmarkStart w:id="58" w:name="mnist-extension"/>
    <w:p>
      <w:pPr>
        <w:pStyle w:val="Heading3"/>
      </w:pPr>
      <w:r>
        <w:t xml:space="preserve">MNIST extension</w:t>
      </w:r>
    </w:p>
    <w:p>
      <w:pPr>
        <w:pStyle w:val="Compact"/>
        <w:numPr>
          <w:ilvl w:val="0"/>
          <w:numId w:val="1012"/>
        </w:numPr>
      </w:pPr>
      <w:r>
        <w:t xml:space="preserve">replace the 64-dimensional flattened input with native 28 x 28 tensors;</w:t>
      </w:r>
    </w:p>
    <w:p>
      <w:pPr>
        <w:pStyle w:val="Compact"/>
        <w:numPr>
          <w:ilvl w:val="0"/>
          <w:numId w:val="1012"/>
        </w:numPr>
      </w:pPr>
      <w:r>
        <w:t xml:space="preserve">use a compact convolutional neural network;</w:t>
      </w:r>
    </w:p>
    <w:p>
      <w:pPr>
        <w:pStyle w:val="Compact"/>
        <w:numPr>
          <w:ilvl w:val="0"/>
          <w:numId w:val="1012"/>
        </w:numPr>
      </w:pPr>
      <w:r>
        <w:t xml:space="preserve">retain FGSM and PGD for direct comparability;</w:t>
      </w:r>
    </w:p>
    <w:p>
      <w:pPr>
        <w:pStyle w:val="Compact"/>
        <w:numPr>
          <w:ilvl w:val="0"/>
          <w:numId w:val="1012"/>
        </w:numPr>
      </w:pPr>
      <w:r>
        <w:t xml:space="preserve">evaluate clean and robust accuracy separately;</w:t>
      </w:r>
    </w:p>
    <w:p>
      <w:pPr>
        <w:pStyle w:val="Compact"/>
        <w:numPr>
          <w:ilvl w:val="0"/>
          <w:numId w:val="1012"/>
        </w:numPr>
      </w:pPr>
      <w:r>
        <w:t xml:space="preserve">compare clean training, adversarial training, and, if possible, TRADES.</w:t>
      </w:r>
    </w:p>
    <w:bookmarkEnd w:id="58"/>
    <w:bookmarkStart w:id="59" w:name="cifar-10-extension"/>
    <w:p>
      <w:pPr>
        <w:pStyle w:val="Heading3"/>
      </w:pPr>
      <w:r>
        <w:t xml:space="preserve">CIFAR-10 extension</w:t>
      </w:r>
    </w:p>
    <w:p>
      <w:pPr>
        <w:pStyle w:val="Compact"/>
        <w:numPr>
          <w:ilvl w:val="0"/>
          <w:numId w:val="1013"/>
        </w:numPr>
      </w:pPr>
      <w:r>
        <w:t xml:space="preserve">use 32 x 32 x 3 color inputs;</w:t>
      </w:r>
    </w:p>
    <w:p>
      <w:pPr>
        <w:pStyle w:val="Compact"/>
        <w:numPr>
          <w:ilvl w:val="0"/>
          <w:numId w:val="1013"/>
        </w:numPr>
      </w:pPr>
      <w:r>
        <w:t xml:space="preserve">move to a stronger backbone such as ResNet-18 or WideResNet;</w:t>
      </w:r>
    </w:p>
    <w:p>
      <w:pPr>
        <w:pStyle w:val="Compact"/>
        <w:numPr>
          <w:ilvl w:val="0"/>
          <w:numId w:val="1013"/>
        </w:numPr>
      </w:pPr>
      <w:r>
        <w:t xml:space="preserve">increase attack rigor by testing a broader epsilon grid and stronger iterative settings;</w:t>
      </w:r>
    </w:p>
    <w:p>
      <w:pPr>
        <w:pStyle w:val="Compact"/>
        <w:numPr>
          <w:ilvl w:val="0"/>
          <w:numId w:val="1013"/>
        </w:numPr>
      </w:pPr>
      <w:r>
        <w:t xml:space="preserve">report both accuracy and robustness for each defense condition;</w:t>
      </w:r>
    </w:p>
    <w:p>
      <w:pPr>
        <w:pStyle w:val="Compact"/>
        <w:numPr>
          <w:ilvl w:val="0"/>
          <w:numId w:val="1013"/>
        </w:numPr>
      </w:pPr>
      <w:r>
        <w:t xml:space="preserve">analyze whether conclusions from digit data remain valid on more realistic images.</w:t>
      </w:r>
    </w:p>
    <w:p>
      <w:pPr>
        <w:pStyle w:val="FirstParagraph"/>
      </w:pPr>
      <w:r>
        <w:t xml:space="preserve">This extension path would transform the present work from a compact reproducible study into a larger benchmark-oriented paper.</w:t>
      </w:r>
    </w:p>
    <w:bookmarkEnd w:id="59"/>
    <w:bookmarkEnd w:id="60"/>
    <w:bookmarkEnd w:id="61"/>
    <w:bookmarkStart w:id="62" w:name="conclusion"/>
    <w:p>
      <w:pPr>
        <w:pStyle w:val="Heading1"/>
      </w:pPr>
      <w:r>
        <w:t xml:space="preserve">6. Conclusion</w:t>
      </w:r>
    </w:p>
    <w:p>
      <w:pPr>
        <w:pStyle w:val="FirstParagraph"/>
      </w:pPr>
      <w:r>
        <w:t xml:space="preserve">This study set out to evaluate and improve adversarial robustness in neural networks through a small but complete experimental pipeline. The results support three final conclusions.</w:t>
      </w:r>
    </w:p>
    <w:p>
      <w:pPr>
        <w:pStyle w:val="BodyText"/>
      </w:pPr>
      <w:r>
        <w:t xml:space="preserve">First, clean accuracy is not enough. A classifier that performs very well on ordinary inputs may still be extremely fragile under adversarial pressure.</w:t>
      </w:r>
    </w:p>
    <w:p>
      <w:pPr>
        <w:pStyle w:val="BodyText"/>
      </w:pPr>
      <w:r>
        <w:t xml:space="preserve">Second, PGD is the critical stress test in this project. It reveals a level of vulnerability that FGSM alone would not fully expose.</w:t>
      </w:r>
    </w:p>
    <w:p>
      <w:pPr>
        <w:pStyle w:val="BodyText"/>
      </w:pPr>
      <w:r>
        <w:t xml:space="preserve">Third, adversarial training materially improves robustness while preserving almost all clean performance. It does not solve the problem completely, but it makes the model meaningfully harder to break.</w:t>
      </w:r>
    </w:p>
    <w:p>
      <w:pPr>
        <w:pStyle w:val="BodyText"/>
      </w:pPr>
      <w:r>
        <w:t xml:space="preserve">Taken together, these findings show that robustness should be treated as a first-class design objective in neural-network research. The project therefore contributes not only a set of results, but also a clear and defensible research narrative: train the model, test its limits, explain the failure, and redesign the learning process so that reliability improves.</w:t>
      </w:r>
    </w:p>
    <w:bookmarkEnd w:id="62"/>
    <w:bookmarkStart w:id="63" w:name="references"/>
    <w:p>
      <w:pPr>
        <w:pStyle w:val="Heading1"/>
      </w:pPr>
      <w:r>
        <w:t xml:space="preserve">References</w:t>
      </w:r>
    </w:p>
    <w:p>
      <w:pPr>
        <w:pStyle w:val="FirstParagraph"/>
      </w:pPr>
      <w:r>
        <w:t xml:space="preserve">Goodfellow, I. J., Shlens, J., and Szegedy, C. (2014).</w:t>
      </w:r>
      <w:r>
        <w:t xml:space="preserve"> </w:t>
      </w:r>
      <w:r>
        <w:rPr>
          <w:i/>
          <w:iCs/>
        </w:rPr>
        <w:t xml:space="preserve">Explaining and Harnessing Adversarial Examples</w:t>
      </w:r>
      <w:r>
        <w:t xml:space="preserve">. arXiv:1412.6572.</w:t>
      </w:r>
    </w:p>
    <w:p>
      <w:pPr>
        <w:pStyle w:val="BodyText"/>
      </w:pPr>
      <w:r>
        <w:t xml:space="preserve">Madry, A., Makelov, A., Schmidt, L., Tsipras, D., and Vladu, A. (2017).</w:t>
      </w:r>
      <w:r>
        <w:t xml:space="preserve"> </w:t>
      </w:r>
      <w:r>
        <w:rPr>
          <w:i/>
          <w:iCs/>
        </w:rPr>
        <w:t xml:space="preserve">Towards Deep Learning Models Resistant to Adversarial Attacks</w:t>
      </w:r>
      <w:r>
        <w:t xml:space="preserve">. arXiv:1706.06083.</w:t>
      </w:r>
    </w:p>
    <w:p>
      <w:pPr>
        <w:pStyle w:val="BodyText"/>
      </w:pPr>
      <w:r>
        <w:t xml:space="preserve">Zhang, H., Yu, Y., Jiao, J., Xing, E. P., El Ghaoui, L., and Jordan, M. I. (2019).</w:t>
      </w:r>
      <w:r>
        <w:t xml:space="preserve"> </w:t>
      </w:r>
      <w:r>
        <w:rPr>
          <w:i/>
          <w:iCs/>
        </w:rPr>
        <w:t xml:space="preserve">Theoretically Principled Trade-off between Robustness and Accuracy</w:t>
      </w:r>
      <w:r>
        <w:t xml:space="preserve">. arXiv:1901.08573.</w:t>
      </w:r>
    </w:p>
    <w:p>
      <w:pPr>
        <w:pStyle w:val="BodyText"/>
      </w:pPr>
      <w:r>
        <w:t xml:space="preserve">scikit-learn documentation.</w:t>
      </w:r>
      <w:r>
        <w:t xml:space="preserve"> </w:t>
      </w:r>
      <w:r>
        <w:rPr>
          <w:i/>
          <w:iCs/>
        </w:rPr>
        <w:t xml:space="preserve">load_digits / The Digit Dataset</w:t>
      </w:r>
      <w:r>
        <w:t xml:space="preserve">.</w:t>
      </w:r>
    </w:p>
    <w:p>
      <w:pPr>
        <w:pStyle w:val="BodyText"/>
      </w:pPr>
      <w:r>
        <w:t xml:space="preserve">MNIST dataset documentation.</w:t>
      </w:r>
    </w:p>
    <w:p>
      <w:pPr>
        <w:pStyle w:val="BodyText"/>
      </w:pPr>
      <w:r>
        <w:t xml:space="preserve">CIFAR-10 dataset documentation.</w:t>
      </w:r>
    </w:p>
    <w:bookmarkEnd w:id="63"/>
    <w:bookmarkStart w:id="64" w:name="appendix-a.-reproducibility-summary"/>
    <w:p>
      <w:pPr>
        <w:pStyle w:val="Heading1"/>
      </w:pPr>
      <w:r>
        <w:t xml:space="preserve">Appendix A. Reproducibility Summary</w:t>
      </w:r>
    </w:p>
    <w:p>
      <w:pPr>
        <w:pStyle w:val="FirstParagraph"/>
      </w:pPr>
      <w:r>
        <w:t xml:space="preserve">The executed results reported in this manuscript come from the local handwritten-digit proxy experiment included in the project bundle. The core files are:</w:t>
      </w:r>
    </w:p>
    <w:p>
      <w:pPr>
        <w:pStyle w:val="Compact"/>
        <w:numPr>
          <w:ilvl w:val="0"/>
          <w:numId w:val="1014"/>
        </w:numPr>
      </w:pPr>
      <w:r>
        <w:rPr>
          <w:rStyle w:val="VerbatimChar"/>
        </w:rPr>
        <w:t xml:space="preserve">src/run_experiments.py</w:t>
      </w:r>
    </w:p>
    <w:p>
      <w:pPr>
        <w:pStyle w:val="Compact"/>
        <w:numPr>
          <w:ilvl w:val="0"/>
          <w:numId w:val="1014"/>
        </w:numPr>
      </w:pPr>
      <w:r>
        <w:rPr>
          <w:rStyle w:val="VerbatimChar"/>
        </w:rPr>
        <w:t xml:space="preserve">data/results.json</w:t>
      </w:r>
    </w:p>
    <w:p>
      <w:pPr>
        <w:pStyle w:val="Compact"/>
        <w:numPr>
          <w:ilvl w:val="0"/>
          <w:numId w:val="1014"/>
        </w:numPr>
      </w:pPr>
      <w:r>
        <w:rPr>
          <w:rStyle w:val="VerbatimChar"/>
        </w:rPr>
        <w:t xml:space="preserve">data/metrics_table.csv</w:t>
      </w:r>
    </w:p>
    <w:p>
      <w:pPr>
        <w:pStyle w:val="Compact"/>
        <w:numPr>
          <w:ilvl w:val="0"/>
          <w:numId w:val="1014"/>
        </w:numPr>
      </w:pPr>
      <w:r>
        <w:rPr>
          <w:rStyle w:val="VerbatimChar"/>
        </w:rPr>
        <w:t xml:space="preserve">docs/assets/*.png</w:t>
      </w:r>
    </w:p>
    <w:p>
      <w:pPr>
        <w:pStyle w:val="FirstParagraph"/>
      </w:pPr>
      <w:r>
        <w:t xml:space="preserve">The manuscript intentionally distinguishes between:</w:t>
      </w:r>
    </w:p>
    <w:p>
      <w:pPr>
        <w:pStyle w:val="Compact"/>
        <w:numPr>
          <w:ilvl w:val="0"/>
          <w:numId w:val="1015"/>
        </w:numPr>
      </w:pPr>
      <w:r>
        <w:rPr>
          <w:b/>
          <w:bCs/>
        </w:rPr>
        <w:t xml:space="preserve">executed local evidence</w:t>
      </w:r>
      <w:r>
        <w:t xml:space="preserve"> </w:t>
      </w:r>
      <w:r>
        <w:t xml:space="preserve">on the scikit-learn digits benchmark; and</w:t>
      </w:r>
    </w:p>
    <w:p>
      <w:pPr>
        <w:pStyle w:val="Compact"/>
        <w:numPr>
          <w:ilvl w:val="0"/>
          <w:numId w:val="1015"/>
        </w:numPr>
      </w:pPr>
      <w:r>
        <w:rPr>
          <w:b/>
          <w:bCs/>
        </w:rPr>
        <w:t xml:space="preserve">planned benchmark transfer</w:t>
      </w:r>
      <w:r>
        <w:t xml:space="preserve"> </w:t>
      </w:r>
      <w:r>
        <w:t xml:space="preserve">to MNIST and CIFAR-10.</w:t>
      </w:r>
    </w:p>
    <w:p>
      <w:pPr>
        <w:pStyle w:val="FirstParagraph"/>
      </w:pPr>
      <w:r>
        <w:t xml:space="preserve">This distinction protects academic accuracy and prevents overclaiming.</w:t>
      </w:r>
    </w:p>
    <w:bookmarkEnd w:id="64"/>
    <w:bookmarkStart w:id="65" w:name="Xe7ceb98d642ac47d6a8945e4bd0baeec920fa7c"/>
    <w:p>
      <w:pPr>
        <w:pStyle w:val="Heading1"/>
      </w:pPr>
      <w:r>
        <w:t xml:space="preserve">Appendix B. Suggested Oral Defense Summary</w:t>
      </w:r>
    </w:p>
    <w:p>
      <w:pPr>
        <w:pStyle w:val="FirstParagraph"/>
      </w:pPr>
      <w:r>
        <w:t xml:space="preserve">A concise oral defense version of this research can be expressed in five points:</w:t>
      </w:r>
    </w:p>
    <w:p>
      <w:pPr>
        <w:pStyle w:val="Compact"/>
        <w:numPr>
          <w:ilvl w:val="0"/>
          <w:numId w:val="1016"/>
        </w:numPr>
      </w:pPr>
      <w:r>
        <w:t xml:space="preserve">I trained a neural network that performed very well on clean handwritten digits.</w:t>
      </w:r>
    </w:p>
    <w:p>
      <w:pPr>
        <w:pStyle w:val="Compact"/>
        <w:numPr>
          <w:ilvl w:val="0"/>
          <w:numId w:val="1016"/>
        </w:numPr>
      </w:pPr>
      <w:r>
        <w:t xml:space="preserve">I tested it with FGSM and PGD to measure adversarial vulnerability.</w:t>
      </w:r>
    </w:p>
    <w:p>
      <w:pPr>
        <w:pStyle w:val="Compact"/>
        <w:numPr>
          <w:ilvl w:val="0"/>
          <w:numId w:val="1016"/>
        </w:numPr>
      </w:pPr>
      <w:r>
        <w:t xml:space="preserve">The baseline model collapsed, especially under PGD.</w:t>
      </w:r>
    </w:p>
    <w:p>
      <w:pPr>
        <w:pStyle w:val="Compact"/>
        <w:numPr>
          <w:ilvl w:val="0"/>
          <w:numId w:val="1016"/>
        </w:numPr>
      </w:pPr>
      <w:r>
        <w:t xml:space="preserve">I applied adversarial training, which preserved clean performance and improved robust accuracy.</w:t>
      </w:r>
    </w:p>
    <w:p>
      <w:pPr>
        <w:pStyle w:val="Compact"/>
        <w:numPr>
          <w:ilvl w:val="0"/>
          <w:numId w:val="1016"/>
        </w:numPr>
      </w:pPr>
      <w:r>
        <w:t xml:space="preserve">I designed the project so that it can be transferred to MNIST and CIFAR-10 in a more advanced phase.</w:t>
      </w:r>
    </w:p>
    <w:bookmarkEnd w:id="65"/>
    <w:bookmarkStart w:id="66" w:name="appendix-c.-github-presentation-value"/>
    <w:p>
      <w:pPr>
        <w:pStyle w:val="Heading1"/>
      </w:pPr>
      <w:r>
        <w:t xml:space="preserve">Appendix C. GitHub Presentation Value</w:t>
      </w:r>
    </w:p>
    <w:p>
      <w:pPr>
        <w:pStyle w:val="FirstParagraph"/>
      </w:pPr>
      <w:r>
        <w:t xml:space="preserve">This project is especially well suited to GitHub presentation because it includes numeric results, visual figures, and a clear before-versus-after story. A simple static dashboard can present the baseline, the collapse under PGD, and the improvement after defense in a form that is attractive, interactive, and easy for examiners to understand quickly.</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and Improving Adversarial Robustness in Neural Networks</dc:title>
  <dc:creator>Researcher Name</dc:creator>
  <dc:language>en-US</dc:language>
  <cp:keywords>adversarial robustness, neural networks, FGSM, PGD, adversarial training</cp:keywords>
  <dcterms:created xsi:type="dcterms:W3CDTF">2026-04-23T07:22:31Z</dcterms:created>
  <dcterms:modified xsi:type="dcterms:W3CDTF">2026-04-23T07:22:31Z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numbersections">
    <vt:lpwstr>True</vt:lpwstr>
  </property>
  <property fmtid="{D5CDD505-2E9C-101B-9397-08002B2CF9AE}" pid="4" name="reference-section-title">
    <vt:lpwstr>References</vt:lpwstr>
  </property>
  <property fmtid="{D5CDD505-2E9C-101B-9397-08002B2CF9AE}" pid="5" name="subtitle">
    <vt:lpwstr>A reproducible handwritten-digit study with a transfer protocol for MNIST and CIFAR-10</vt:lpwstr>
  </property>
  <property fmtid="{D5CDD505-2E9C-101B-9397-08002B2CF9AE}" pid="6" name="toc">
    <vt:lpwstr>True</vt:lpwstr>
  </property>
  <property fmtid="{D5CDD505-2E9C-101B-9397-08002B2CF9AE}" pid="7" name="toc-depth">
    <vt:lpwstr>3</vt:lpwstr>
  </property>
</Properties>
</file>