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a1a1a"/>
          <w:sz w:val="52"/>
          <w:szCs w:val="52"/>
          <w:u w:color="1a1a1a"/>
          <w:rtl w:val="0"/>
          <w:lang w:val="en-US"/>
          <w14:textFill>
            <w14:solidFill>
              <w14:srgbClr w14:val="1A1A1A"/>
            </w14:solidFill>
          </w14:textFill>
        </w:rPr>
        <w:t>AI CITATION TRACKER</w:t>
      </w:r>
    </w:p>
    <w:p>
      <w:pPr>
        <w:pStyle w:val="Body"/>
        <w:bidi w:val="0"/>
      </w:pPr>
      <w:r>
        <w:rPr>
          <w:rFonts w:ascii="Arial" w:hAnsi="Arial"/>
          <w:outline w:val="0"/>
          <w:color w:val="666e72"/>
          <w:sz w:val="28"/>
          <w:szCs w:val="28"/>
          <w:u w:color="666e72"/>
          <w:rtl w:val="0"/>
          <w:lang w:val="en-US"/>
          <w14:textFill>
            <w14:solidFill>
              <w14:srgbClr w14:val="666E72"/>
            </w14:solidFill>
          </w14:textFill>
        </w:rPr>
        <w:t>Product Build Brief for FlowBlinq</w:t>
      </w:r>
    </w:p>
    <w:p>
      <w:pPr>
        <w:pStyle w:val="Body"/>
        <w:bidi w:val="0"/>
      </w:pPr>
    </w:p>
    <w:p>
      <w:pPr>
        <w:pStyle w:val="Body"/>
        <w:bidi w:val="0"/>
      </w:pPr>
      <w:r>
        <w:rPr>
          <w:rFonts w:ascii="Arial" w:hAnsi="Arial"/>
          <w:b w:val="1"/>
          <w:bCs w:val="1"/>
          <w:outline w:val="0"/>
          <w:color w:val="666e72"/>
          <w:sz w:val="18"/>
          <w:szCs w:val="18"/>
          <w:u w:color="666e72"/>
          <w:rtl w:val="0"/>
          <w:lang w:val="en-US"/>
          <w14:textFill>
            <w14:solidFill>
              <w14:srgbClr w14:val="666E72"/>
            </w14:solidFill>
          </w14:textFill>
        </w:rPr>
        <w:t xml:space="preserve">From:  </w:t>
      </w:r>
      <w:r>
        <w:rPr>
          <w:rFonts w:ascii="Arial" w:hAnsi="Arial"/>
          <w:outline w:val="0"/>
          <w:color w:val="1a1a1a"/>
          <w:sz w:val="18"/>
          <w:szCs w:val="18"/>
          <w:u w:color="1a1a1a"/>
          <w:rtl w:val="0"/>
          <w:lang w:val="fr-FR"/>
          <w14:textFill>
            <w14:solidFill>
              <w14:srgbClr w14:val="1A1A1A"/>
            </w14:solidFill>
          </w14:textFill>
        </w:rPr>
        <w:t xml:space="preserve">Pepper Communications Group (PCG)  </w:t>
      </w:r>
      <w:r>
        <w:rPr>
          <w:rFonts w:ascii="Arial" w:hAnsi="Arial"/>
          <w:outline w:val="0"/>
          <w:color w:val="666e72"/>
          <w:sz w:val="18"/>
          <w:szCs w:val="18"/>
          <w:u w:color="666e72"/>
          <w:rtl w:val="0"/>
          <w:lang w:val="de-DE"/>
          <w14:textFill>
            <w14:solidFill>
              <w14:srgbClr w14:val="666E72"/>
            </w14:solidFill>
          </w14:textFill>
        </w:rPr>
        <w:t xml:space="preserve">  |  </w:t>
      </w:r>
      <w:r>
        <w:rPr>
          <w:rFonts w:ascii="Arial" w:hAnsi="Arial"/>
          <w:b w:val="1"/>
          <w:bCs w:val="1"/>
          <w:outline w:val="0"/>
          <w:color w:val="666e72"/>
          <w:sz w:val="18"/>
          <w:szCs w:val="18"/>
          <w:u w:color="666e72"/>
          <w:rtl w:val="0"/>
          <w14:textFill>
            <w14:solidFill>
              <w14:srgbClr w14:val="666E72"/>
            </w14:solidFill>
          </w14:textFill>
        </w:rPr>
        <w:t xml:space="preserve">  To:  </w:t>
      </w:r>
      <w:r>
        <w:rPr>
          <w:rFonts w:ascii="Arial" w:hAnsi="Arial"/>
          <w:outline w:val="0"/>
          <w:color w:val="1a1a1a"/>
          <w:sz w:val="18"/>
          <w:szCs w:val="18"/>
          <w:u w:color="1a1a1a"/>
          <w:rtl w:val="0"/>
          <w:lang w:val="fr-FR"/>
          <w14:textFill>
            <w14:solidFill>
              <w14:srgbClr w14:val="1A1A1A"/>
            </w14:solidFill>
          </w14:textFill>
        </w:rPr>
        <w:t>FlowBlinq Product Team</w:t>
      </w:r>
    </w:p>
    <w:p>
      <w:pPr>
        <w:pStyle w:val="Body"/>
        <w:bidi w:val="0"/>
      </w:pPr>
      <w:r>
        <w:rPr>
          <w:rFonts w:ascii="Arial" w:hAnsi="Arial"/>
          <w:b w:val="1"/>
          <w:bCs w:val="1"/>
          <w:outline w:val="0"/>
          <w:color w:val="666e72"/>
          <w:sz w:val="18"/>
          <w:szCs w:val="18"/>
          <w:u w:color="666e72"/>
          <w:rtl w:val="0"/>
          <w:lang w:val="de-DE"/>
          <w14:textFill>
            <w14:solidFill>
              <w14:srgbClr w14:val="666E72"/>
            </w14:solidFill>
          </w14:textFill>
        </w:rPr>
        <w:t xml:space="preserve">Date:  </w:t>
      </w:r>
      <w:r>
        <w:rPr>
          <w:rFonts w:ascii="Arial" w:hAnsi="Arial"/>
          <w:outline w:val="0"/>
          <w:color w:val="1a1a1a"/>
          <w:sz w:val="18"/>
          <w:szCs w:val="18"/>
          <w:u w:color="1a1a1a"/>
          <w:rtl w:val="0"/>
          <w:lang w:val="en-US"/>
          <w14:textFill>
            <w14:solidFill>
              <w14:srgbClr w14:val="1A1A1A"/>
            </w14:solidFill>
          </w14:textFill>
        </w:rPr>
        <w:t xml:space="preserve">June 2026  </w:t>
      </w:r>
      <w:r>
        <w:rPr>
          <w:rFonts w:ascii="Arial" w:hAnsi="Arial"/>
          <w:outline w:val="0"/>
          <w:color w:val="666e72"/>
          <w:sz w:val="18"/>
          <w:szCs w:val="18"/>
          <w:u w:color="666e72"/>
          <w:rtl w:val="0"/>
          <w:lang w:val="de-DE"/>
          <w14:textFill>
            <w14:solidFill>
              <w14:srgbClr w14:val="666E72"/>
            </w14:solidFill>
          </w14:textFill>
        </w:rPr>
        <w:t xml:space="preserve">  |  </w:t>
      </w:r>
      <w:r>
        <w:rPr>
          <w:rFonts w:ascii="Arial" w:hAnsi="Arial"/>
          <w:b w:val="1"/>
          <w:bCs w:val="1"/>
          <w:outline w:val="0"/>
          <w:color w:val="666e72"/>
          <w:sz w:val="18"/>
          <w:szCs w:val="18"/>
          <w:u w:color="666e72"/>
          <w:rtl w:val="0"/>
          <w:lang w:val="it-IT"/>
          <w14:textFill>
            <w14:solidFill>
              <w14:srgbClr w14:val="666E72"/>
            </w14:solidFill>
          </w14:textFill>
        </w:rPr>
        <w:t xml:space="preserve">  Classification:  </w:t>
      </w:r>
      <w:r>
        <w:rPr>
          <w:rFonts w:ascii="Arial" w:hAnsi="Arial"/>
          <w:outline w:val="0"/>
          <w:color w:val="1a1a1a"/>
          <w:sz w:val="18"/>
          <w:szCs w:val="18"/>
          <w:u w:color="1a1a1a"/>
          <w:rtl w:val="0"/>
          <w:lang w:val="en-US"/>
          <w14:textFill>
            <w14:solidFill>
              <w14:srgbClr w14:val="1A1A1A"/>
            </w14:solidFill>
          </w14:textFill>
        </w:rPr>
        <w:t>Confidential</w:t>
      </w:r>
    </w:p>
    <w:p>
      <w:pPr>
        <w:pStyle w:val="Body"/>
        <w:bidi w:val="0"/>
      </w:pPr>
    </w:p>
    <w:p>
      <w:pPr>
        <w:pStyle w:val="Body"/>
        <w:bidi w:val="0"/>
      </w:pPr>
    </w:p>
    <w:p>
      <w:pPr>
        <w:pStyle w:val="Heading"/>
      </w:pPr>
      <w:r>
        <w:rPr>
          <w:outline w:val="0"/>
          <w:color w:val="1a1a1a"/>
          <w:u w:color="1a1a1a"/>
          <w:rtl w:val="0"/>
          <w:lang w:val="en-US"/>
          <w14:textFill>
            <w14:solidFill>
              <w14:srgbClr w14:val="1A1A1A"/>
            </w14:solidFill>
          </w14:textFill>
        </w:rPr>
        <w:t>1. Context &amp; Problem Statement</w:t>
      </w:r>
    </w:p>
    <w:p>
      <w:pPr>
        <w:pStyle w:val="Heading"/>
      </w:pPr>
      <w:r>
        <w:rPr>
          <w:b w:val="0"/>
          <w:bCs w:val="0"/>
          <w:outline w:val="0"/>
          <w:color w:val="1a1a1a"/>
          <w:sz w:val="20"/>
          <w:szCs w:val="20"/>
          <w:u w:color="1a1a1a"/>
          <w:rtl w:val="0"/>
          <w:lang w:val="it-IT"/>
          <w14:textFill>
            <w14:solidFill>
              <w14:srgbClr w14:val="1A1A1A"/>
            </w14:solidFill>
          </w14:textFill>
        </w:rPr>
        <w:t>A core</w:t>
      </w:r>
      <w:r>
        <w:rPr>
          <w:b w:val="0"/>
          <w:bCs w:val="0"/>
          <w:outline w:val="0"/>
          <w:color w:val="1a1a1a"/>
          <w:sz w:val="20"/>
          <w:szCs w:val="20"/>
          <w:u w:color="1a1a1a"/>
          <w:rtl w:val="0"/>
          <w:lang w:val="en-US"/>
          <w14:textFill>
            <w14:solidFill>
              <w14:srgbClr w14:val="1A1A1A"/>
            </w14:solidFill>
          </w14:textFill>
        </w:rPr>
        <w:t>, directly measurable</w:t>
      </w:r>
      <w:r>
        <w:rPr>
          <w:b w:val="0"/>
          <w:bCs w:val="0"/>
          <w:outline w:val="0"/>
          <w:color w:val="1a1a1a"/>
          <w:sz w:val="20"/>
          <w:szCs w:val="20"/>
          <w:u w:color="1a1a1a"/>
          <w:rtl w:val="0"/>
          <w:lang w:val="en-US"/>
          <w14:textFill>
            <w14:solidFill>
              <w14:srgbClr w14:val="1A1A1A"/>
            </w14:solidFill>
          </w14:textFill>
        </w:rPr>
        <w:t xml:space="preserve"> output of PR is press coverage </w:t>
      </w:r>
      <w:r>
        <w:rPr>
          <w:b w:val="0"/>
          <w:bCs w:val="0"/>
          <w:outline w:val="0"/>
          <w:color w:val="1a1a1a"/>
          <w:sz w:val="20"/>
          <w:szCs w:val="20"/>
          <w:u w:color="1a1a1a"/>
          <w:rtl w:val="0"/>
          <w:lang w:val="en-US"/>
          <w14:textFill>
            <w14:solidFill>
              <w14:srgbClr w14:val="1A1A1A"/>
            </w14:solidFill>
          </w14:textFill>
        </w:rPr>
        <w:t xml:space="preserve">— </w:t>
      </w:r>
      <w:r>
        <w:rPr>
          <w:b w:val="0"/>
          <w:bCs w:val="0"/>
          <w:outline w:val="0"/>
          <w:color w:val="1a1a1a"/>
          <w:sz w:val="20"/>
          <w:szCs w:val="20"/>
          <w:u w:color="1a1a1a"/>
          <w:rtl w:val="0"/>
          <w:lang w:val="en-US"/>
          <w14:textFill>
            <w14:solidFill>
              <w14:srgbClr w14:val="1A1A1A"/>
            </w14:solidFill>
          </w14:textFill>
        </w:rPr>
        <w:t>articles placed in media outlets on behalf of clients. Traditionally, the value of that coverage is measured by reach, readership, and sentiment.</w:t>
      </w:r>
    </w:p>
    <w:p>
      <w:pPr>
        <w:pStyle w:val="Heading"/>
      </w:pPr>
      <w:r>
        <w:rPr>
          <w:b w:val="0"/>
          <w:bCs w:val="0"/>
          <w:outline w:val="0"/>
          <w:color w:val="1a1a1a"/>
          <w:sz w:val="20"/>
          <w:szCs w:val="20"/>
          <w:u w:color="1a1a1a"/>
          <w:rtl w:val="0"/>
          <w:lang w:val="en-US"/>
          <w14:textFill>
            <w14:solidFill>
              <w14:srgbClr w14:val="1A1A1A"/>
            </w14:solidFill>
          </w14:textFill>
        </w:rPr>
        <w:t>That model is increasingly incomplete</w:t>
      </w:r>
      <w:r>
        <w:rPr>
          <w:b w:val="0"/>
          <w:bCs w:val="0"/>
          <w:outline w:val="0"/>
          <w:color w:val="1a1a1a"/>
          <w:sz w:val="20"/>
          <w:szCs w:val="20"/>
          <w:u w:color="1a1a1a"/>
          <w:rtl w:val="0"/>
          <w:lang w:val="en-US"/>
          <w14:textFill>
            <w14:solidFill>
              <w14:srgbClr w14:val="1A1A1A"/>
            </w14:solidFill>
          </w14:textFill>
        </w:rPr>
        <w:t xml:space="preserve"> as </w:t>
      </w:r>
      <w:r>
        <w:rPr>
          <w:b w:val="0"/>
          <w:bCs w:val="0"/>
          <w:outline w:val="0"/>
          <w:color w:val="1a1a1a"/>
          <w:sz w:val="20"/>
          <w:szCs w:val="20"/>
          <w:u w:color="1a1a1a"/>
          <w:rtl w:val="0"/>
          <w:lang w:val="en-US"/>
          <w14:textFill>
            <w14:solidFill>
              <w14:srgbClr w14:val="1A1A1A"/>
            </w14:solidFill>
          </w14:textFill>
        </w:rPr>
        <w:t>‘</w:t>
      </w:r>
      <w:r>
        <w:rPr>
          <w:b w:val="0"/>
          <w:bCs w:val="0"/>
          <w:outline w:val="0"/>
          <w:color w:val="1a1a1a"/>
          <w:sz w:val="20"/>
          <w:szCs w:val="20"/>
          <w:u w:color="1a1a1a"/>
          <w:rtl w:val="0"/>
          <w:lang w:val="en-US"/>
          <w14:textFill>
            <w14:solidFill>
              <w14:srgbClr w14:val="1A1A1A"/>
            </w14:solidFill>
          </w14:textFill>
        </w:rPr>
        <w:t>search</w:t>
      </w:r>
      <w:r>
        <w:rPr>
          <w:b w:val="0"/>
          <w:bCs w:val="0"/>
          <w:outline w:val="0"/>
          <w:color w:val="1a1a1a"/>
          <w:sz w:val="20"/>
          <w:szCs w:val="20"/>
          <w:u w:color="1a1a1a"/>
          <w:rtl w:val="0"/>
          <w:lang w:val="en-US"/>
          <w14:textFill>
            <w14:solidFill>
              <w14:srgbClr w14:val="1A1A1A"/>
            </w14:solidFill>
          </w14:textFill>
        </w:rPr>
        <w:t xml:space="preserve">’ </w:t>
      </w:r>
      <w:r>
        <w:rPr>
          <w:b w:val="0"/>
          <w:bCs w:val="0"/>
          <w:outline w:val="0"/>
          <w:color w:val="1a1a1a"/>
          <w:sz w:val="20"/>
          <w:szCs w:val="20"/>
          <w:u w:color="1a1a1a"/>
          <w:rtl w:val="0"/>
          <w:lang w:val="en-US"/>
          <w14:textFill>
            <w14:solidFill>
              <w14:srgbClr w14:val="1A1A1A"/>
            </w14:solidFill>
          </w14:textFill>
        </w:rPr>
        <w:t>moved away from traditional platforms</w:t>
      </w:r>
      <w:r>
        <w:rPr>
          <w:b w:val="0"/>
          <w:bCs w:val="0"/>
          <w:outline w:val="0"/>
          <w:color w:val="1a1a1a"/>
          <w:sz w:val="20"/>
          <w:szCs w:val="20"/>
          <w:u w:color="1a1a1a"/>
          <w:rtl w:val="0"/>
          <w:lang w:val="en-US"/>
          <w14:textFill>
            <w14:solidFill>
              <w14:srgbClr w14:val="1A1A1A"/>
            </w14:solidFill>
          </w14:textFill>
        </w:rPr>
        <w:t xml:space="preserve">. A growing share of how people research brands, categories, and decisions now happens via AI platforms </w:t>
      </w:r>
      <w:r>
        <w:rPr>
          <w:b w:val="0"/>
          <w:bCs w:val="0"/>
          <w:outline w:val="0"/>
          <w:color w:val="1a1a1a"/>
          <w:sz w:val="20"/>
          <w:szCs w:val="20"/>
          <w:u w:color="1a1a1a"/>
          <w:rtl w:val="0"/>
          <w:lang w:val="en-US"/>
          <w14:textFill>
            <w14:solidFill>
              <w14:srgbClr w14:val="1A1A1A"/>
            </w14:solidFill>
          </w14:textFill>
        </w:rPr>
        <w:t xml:space="preserve">— </w:t>
      </w:r>
      <w:r>
        <w:rPr>
          <w:b w:val="0"/>
          <w:bCs w:val="0"/>
          <w:outline w:val="0"/>
          <w:color w:val="1a1a1a"/>
          <w:sz w:val="20"/>
          <w:szCs w:val="20"/>
          <w:u w:color="1a1a1a"/>
          <w:rtl w:val="0"/>
          <w:lang w:val="en-US"/>
          <w14:textFill>
            <w14:solidFill>
              <w14:srgbClr w14:val="1A1A1A"/>
            </w14:solidFill>
          </w14:textFill>
        </w:rPr>
        <w:t>ChatGPT, Perplexity, Gemini, Google AI Overviews. These platforms generate answers and cite sources. Whether a client's press coverage is being cited in those answers is now a meaningful indicator of earned media value.</w:t>
      </w:r>
    </w:p>
    <w:p>
      <w:pPr>
        <w:pStyle w:val="Heading"/>
      </w:pPr>
      <w:r>
        <w:rPr>
          <w:b w:val="0"/>
          <w:bCs w:val="0"/>
          <w:outline w:val="0"/>
          <w:color w:val="1a1a1a"/>
          <w:sz w:val="20"/>
          <w:szCs w:val="20"/>
          <w:u w:color="1a1a1a"/>
          <w:rtl w:val="0"/>
          <w:lang w:val="en-US"/>
          <w14:textFill>
            <w14:solidFill>
              <w14:srgbClr w14:val="1A1A1A"/>
            </w14:solidFill>
          </w14:textFill>
        </w:rPr>
        <w:t>Agencies</w:t>
      </w:r>
      <w:r>
        <w:rPr>
          <w:b w:val="0"/>
          <w:bCs w:val="0"/>
          <w:outline w:val="0"/>
          <w:color w:val="1a1a1a"/>
          <w:sz w:val="20"/>
          <w:szCs w:val="20"/>
          <w:u w:color="1a1a1a"/>
          <w:rtl w:val="0"/>
          <w:lang w:val="en-US"/>
          <w14:textFill>
            <w14:solidFill>
              <w14:srgbClr w14:val="1A1A1A"/>
            </w14:solidFill>
          </w14:textFill>
        </w:rPr>
        <w:t xml:space="preserve"> currently has no scalable way to track this. A manual process exists but is time-intensive and not viable across a full client portfolio. We need a tool that automates the measurement workflow and produces reportable data each month.</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909" w:hRule="atLeast"/>
        </w:trPr>
        <w:tc>
          <w:tcPr>
            <w:tcW w:type="dxa" w:w="9026"/>
            <w:tcBorders>
              <w:top w:val="single" w:color="ffc20e" w:sz="4" w:space="0" w:shadow="0" w:frame="0"/>
              <w:left w:val="single" w:color="ffc20e" w:sz="4" w:space="0" w:shadow="0" w:frame="0"/>
              <w:bottom w:val="single" w:color="ffc20e" w:sz="4" w:space="0" w:shadow="0" w:frame="0"/>
              <w:right w:val="single" w:color="ffc20e" w:sz="4" w:space="0" w:shadow="0" w:frame="0"/>
            </w:tcBorders>
            <w:shd w:val="clear" w:color="auto" w:fill="fffb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66e72"/>
                <w:sz w:val="20"/>
                <w:szCs w:val="20"/>
                <w:u w:color="666e72"/>
                <w:shd w:val="nil" w:color="auto" w:fill="auto"/>
                <w:rtl w:val="0"/>
                <w:lang w:val="en-US"/>
                <w14:textFill>
                  <w14:solidFill>
                    <w14:srgbClr w14:val="666E72"/>
                  </w14:solidFill>
                </w14:textFill>
              </w:rPr>
              <w:t>The core question this tool must answer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 xml:space="preserve">"For a given client, which of their press articles are being cited by AI platforms when users ask queries relevant to that client's industry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and how is that changing month on month?"</w:t>
            </w:r>
          </w:p>
        </w:tc>
      </w:tr>
    </w:tbl>
    <w:p>
      <w:pPr>
        <w:pStyle w:val="Heading"/>
        <w:widowControl w:val="0"/>
      </w:pPr>
    </w:p>
    <w:p>
      <w:pPr>
        <w:pStyle w:val="Heading"/>
      </w:pPr>
      <w:r>
        <w:rPr>
          <w:outline w:val="0"/>
          <w:color w:val="1a1a1a"/>
          <w:u w:color="1a1a1a"/>
          <w:rtl w:val="0"/>
          <w:lang w:val="en-US"/>
          <w14:textFill>
            <w14:solidFill>
              <w14:srgbClr w14:val="1A1A1A"/>
            </w14:solidFill>
          </w14:textFill>
        </w:rPr>
        <w:t xml:space="preserve">2. Scope Boundary </w:t>
      </w:r>
      <w:r>
        <w:rPr>
          <w:outline w:val="0"/>
          <w:color w:val="1a1a1a"/>
          <w:u w:color="1a1a1a"/>
          <w:rtl w:val="0"/>
          <w:lang w:val="en-US"/>
          <w14:textFill>
            <w14:solidFill>
              <w14:srgbClr w14:val="1A1A1A"/>
            </w14:solidFill>
          </w14:textFill>
        </w:rPr>
        <w:t xml:space="preserve">— </w:t>
      </w:r>
      <w:r>
        <w:rPr>
          <w:outline w:val="0"/>
          <w:color w:val="1a1a1a"/>
          <w:u w:color="1a1a1a"/>
          <w:rtl w:val="0"/>
          <w:lang w:val="en-US"/>
          <w14:textFill>
            <w14:solidFill>
              <w14:srgbClr w14:val="1A1A1A"/>
            </w14:solidFill>
          </w14:textFill>
        </w:rPr>
        <w:t>What This Is Not</w:t>
      </w:r>
    </w:p>
    <w:p>
      <w:pPr>
        <w:pStyle w:val="Heading"/>
      </w:pPr>
      <w:r>
        <w:rPr>
          <w:b w:val="0"/>
          <w:bCs w:val="0"/>
          <w:outline w:val="0"/>
          <w:color w:val="1a1a1a"/>
          <w:sz w:val="20"/>
          <w:szCs w:val="20"/>
          <w:u w:color="1a1a1a"/>
          <w:rtl w:val="0"/>
          <w:lang w:val="en-US"/>
          <w14:textFill>
            <w14:solidFill>
              <w14:srgbClr w14:val="1A1A1A"/>
            </w14:solidFill>
          </w14:textFill>
        </w:rPr>
        <w:t>This brief is scoped to measurement only. It is important to be explicit about what is out of scope to keep the build focused.</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3"/>
        <w:gridCol w:w="4513"/>
      </w:tblGrid>
      <w:tr>
        <w:tblPrEx>
          <w:shd w:val="clear" w:color="auto" w:fill="4f81bd"/>
        </w:tblPrEx>
        <w:trPr>
          <w:trHeight w:val="197" w:hRule="atLeast"/>
          <w:tblHeader/>
        </w:trPr>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666e7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IN SCOPE</w:t>
            </w:r>
          </w:p>
        </w:tc>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666e7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OUT OF SCOPE</w:t>
            </w:r>
          </w:p>
        </w:tc>
      </w:tr>
      <w:tr>
        <w:tblPrEx>
          <w:shd w:val="clear" w:color="auto" w:fill="ced7e7"/>
        </w:tblPrEx>
        <w:trPr>
          <w:trHeight w:val="197" w:hRule="atLeast"/>
        </w:trPr>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Tracking whether client articles are cited by AI</w:t>
            </w:r>
          </w:p>
        </w:tc>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Optimising content to improve AI citations</w:t>
            </w:r>
          </w:p>
        </w:tc>
      </w:tr>
      <w:tr>
        <w:tblPrEx>
          <w:shd w:val="clear" w:color="auto" w:fill="ced7e7"/>
        </w:tblPrEx>
        <w:trPr>
          <w:trHeight w:val="197" w:hRule="atLeast"/>
        </w:trPr>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Monthly citation reporting per client</w:t>
            </w:r>
          </w:p>
        </w:tc>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SEO or AEO recommendations</w:t>
            </w:r>
          </w:p>
        </w:tc>
      </w:tr>
      <w:tr>
        <w:tblPrEx>
          <w:shd w:val="clear" w:color="auto" w:fill="ced7e7"/>
        </w:tblPrEx>
        <w:trPr>
          <w:trHeight w:val="197" w:hRule="atLeast"/>
        </w:trPr>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Prompt-triggered AI response capture</w:t>
            </w:r>
          </w:p>
        </w:tc>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Content generation or publishing</w:t>
            </w:r>
          </w:p>
        </w:tc>
      </w:tr>
      <w:tr>
        <w:tblPrEx>
          <w:shd w:val="clear" w:color="auto" w:fill="ced7e7"/>
        </w:tblPrEx>
        <w:trPr>
          <w:trHeight w:val="435" w:hRule="atLeast"/>
        </w:trPr>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URL-level citation matching</w:t>
            </w:r>
          </w:p>
        </w:tc>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Social listening or traditional media monitoring</w:t>
            </w:r>
            <w:r>
              <w:rPr>
                <w:rFonts w:ascii="Arial" w:hAnsi="Arial"/>
                <w:outline w:val="0"/>
                <w:color w:val="1a1a1a"/>
                <w:sz w:val="18"/>
                <w:szCs w:val="18"/>
                <w:u w:color="1a1a1a"/>
                <w:shd w:val="nil" w:color="auto" w:fill="auto"/>
                <w:rtl w:val="0"/>
                <w:lang w:val="en-US"/>
                <w14:textFill>
                  <w14:solidFill>
                    <w14:srgbClr w14:val="1A1A1A"/>
                  </w14:solidFill>
                </w14:textFill>
              </w:rPr>
              <w:t xml:space="preserve"> [This can be a separate tool anyway]</w:t>
            </w:r>
          </w:p>
        </w:tc>
      </w:tr>
      <w:tr>
        <w:tblPrEx>
          <w:shd w:val="clear" w:color="auto" w:fill="ced7e7"/>
        </w:tblPrEx>
        <w:trPr>
          <w:trHeight w:val="197" w:hRule="atLeast"/>
        </w:trPr>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Competitive citation benchmarking</w:t>
            </w:r>
          </w:p>
        </w:tc>
        <w:tc>
          <w:tcPr>
            <w:tcW w:type="dxa" w:w="451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Client-facing end-user product (Phase 1)</w:t>
            </w:r>
          </w:p>
        </w:tc>
      </w:tr>
    </w:tbl>
    <w:p>
      <w:pPr>
        <w:pStyle w:val="Heading"/>
        <w:widowControl w:val="0"/>
      </w:pPr>
    </w:p>
    <w:p>
      <w:pPr>
        <w:pStyle w:val="Heading"/>
        <w:widowControl w:val="0"/>
      </w:pPr>
    </w:p>
    <w:p>
      <w:pPr>
        <w:pStyle w:val="Heading"/>
        <w:widowControl w:val="0"/>
      </w:pPr>
    </w:p>
    <w:p>
      <w:pPr>
        <w:pStyle w:val="Heading"/>
      </w:pPr>
      <w:r>
        <w:rPr>
          <w:outline w:val="0"/>
          <w:color w:val="1a1a1a"/>
          <w:u w:color="1a1a1a"/>
          <w:rtl w:val="0"/>
          <w14:textFill>
            <w14:solidFill>
              <w14:srgbClr w14:val="1A1A1A"/>
            </w14:solidFill>
          </w14:textFill>
        </w:rPr>
        <w:t xml:space="preserve">3. </w:t>
      </w:r>
      <w:r>
        <w:rPr>
          <w:outline w:val="0"/>
          <w:color w:val="1a1a1a"/>
          <w:u w:color="1a1a1a"/>
          <w:rtl w:val="0"/>
          <w:lang w:val="en-US"/>
          <w14:textFill>
            <w14:solidFill>
              <w14:srgbClr w14:val="1A1A1A"/>
            </w14:solidFill>
          </w14:textFill>
        </w:rPr>
        <w:t>Required</w:t>
      </w:r>
      <w:r>
        <w:rPr>
          <w:outline w:val="0"/>
          <w:color w:val="1a1a1a"/>
          <w:u w:color="1a1a1a"/>
          <w:rtl w:val="0"/>
          <w14:textFill>
            <w14:solidFill>
              <w14:srgbClr w14:val="1A1A1A"/>
            </w14:solidFill>
          </w14:textFill>
        </w:rPr>
        <w:t xml:space="preserve"> </w:t>
      </w:r>
      <w:r>
        <w:rPr>
          <w:outline w:val="0"/>
          <w:color w:val="1a1a1a"/>
          <w:u w:color="1a1a1a"/>
          <w:rtl w:val="0"/>
          <w:lang w:val="en-US"/>
          <w14:textFill>
            <w14:solidFill>
              <w14:srgbClr w14:val="1A1A1A"/>
            </w14:solidFill>
          </w14:textFill>
        </w:rPr>
        <w:t>Features</w:t>
      </w:r>
    </w:p>
    <w:p>
      <w:pPr>
        <w:pStyle w:val="Heading"/>
      </w:pPr>
      <w:r>
        <w:rPr>
          <w:b w:val="0"/>
          <w:bCs w:val="0"/>
          <w:outline w:val="0"/>
          <w:color w:val="1a1a1a"/>
          <w:sz w:val="20"/>
          <w:szCs w:val="20"/>
          <w:u w:color="1a1a1a"/>
          <w:rtl w:val="0"/>
          <w:lang w:val="en-US"/>
          <w14:textFill>
            <w14:solidFill>
              <w14:srgbClr w14:val="1A1A1A"/>
            </w14:solidFill>
          </w14:textFill>
        </w:rPr>
        <w:t xml:space="preserve">After reviewing the options, </w:t>
      </w:r>
      <w:r>
        <w:rPr>
          <w:b w:val="0"/>
          <w:bCs w:val="0"/>
          <w:outline w:val="0"/>
          <w:color w:val="1a1a1a"/>
          <w:sz w:val="20"/>
          <w:szCs w:val="20"/>
          <w:u w:color="1a1a1a"/>
          <w:rtl w:val="0"/>
          <w:lang w:val="en-US"/>
          <w14:textFill>
            <w14:solidFill>
              <w14:srgbClr w14:val="1A1A1A"/>
            </w14:solidFill>
          </w14:textFill>
        </w:rPr>
        <w:t>we believe</w:t>
      </w:r>
      <w:r>
        <w:rPr>
          <w:b w:val="0"/>
          <w:bCs w:val="0"/>
          <w:outline w:val="0"/>
          <w:color w:val="1a1a1a"/>
          <w:sz w:val="20"/>
          <w:szCs w:val="20"/>
          <w:u w:color="1a1a1a"/>
          <w:rtl w:val="0"/>
          <w:lang w:val="en-US"/>
          <w14:textFill>
            <w14:solidFill>
              <w14:srgbClr w14:val="1A1A1A"/>
            </w14:solidFill>
          </w14:textFill>
        </w:rPr>
        <w:t xml:space="preserve"> recommends a hybrid architecture: prompt-triggered query execution combined with URL-level citation matching. Neither approach alone is sufficient.</w:t>
      </w:r>
    </w:p>
    <w:p>
      <w:pPr>
        <w:pStyle w:val="Heading 2"/>
      </w:pPr>
      <w:r>
        <w:rPr>
          <w:outline w:val="0"/>
          <w:color w:val="666e72"/>
          <w:u w:color="666e72"/>
          <w:rtl w:val="0"/>
          <w:lang w:val="en-US"/>
          <w14:textFill>
            <w14:solidFill>
              <w14:srgbClr w14:val="666E72"/>
            </w14:solidFill>
          </w14:textFill>
        </w:rPr>
        <w:t>3.1 Why prompts alone are insufficient</w:t>
      </w:r>
    </w:p>
    <w:p>
      <w:pPr>
        <w:pStyle w:val="Heading 2"/>
      </w:pPr>
      <w:r>
        <w:rPr>
          <w:b w:val="0"/>
          <w:bCs w:val="0"/>
          <w:outline w:val="0"/>
          <w:color w:val="1a1a1a"/>
          <w:sz w:val="20"/>
          <w:szCs w:val="20"/>
          <w:u w:color="1a1a1a"/>
          <w:rtl w:val="0"/>
          <w:lang w:val="en-US"/>
          <w14:textFill>
            <w14:solidFill>
              <w14:srgbClr w14:val="1A1A1A"/>
            </w14:solidFill>
          </w14:textFill>
        </w:rPr>
        <w:t xml:space="preserve">A prompt library drives the queries </w:t>
      </w:r>
      <w:r>
        <w:rPr>
          <w:b w:val="0"/>
          <w:bCs w:val="0"/>
          <w:outline w:val="0"/>
          <w:color w:val="1a1a1a"/>
          <w:sz w:val="20"/>
          <w:szCs w:val="20"/>
          <w:u w:color="1a1a1a"/>
          <w:rtl w:val="0"/>
          <w:lang w:val="en-US"/>
          <w14:textFill>
            <w14:solidFill>
              <w14:srgbClr w14:val="1A1A1A"/>
            </w14:solidFill>
          </w14:textFill>
        </w:rPr>
        <w:t xml:space="preserve">— </w:t>
      </w:r>
      <w:r>
        <w:rPr>
          <w:b w:val="0"/>
          <w:bCs w:val="0"/>
          <w:outline w:val="0"/>
          <w:color w:val="1a1a1a"/>
          <w:sz w:val="20"/>
          <w:szCs w:val="20"/>
          <w:u w:color="1a1a1a"/>
          <w:rtl w:val="0"/>
          <w:lang w:val="en-US"/>
          <w14:textFill>
            <w14:solidFill>
              <w14:srgbClr w14:val="1A1A1A"/>
            </w14:solidFill>
          </w14:textFill>
        </w:rPr>
        <w:t>it defines which questions get submitted to AI platforms each month. But prompts without URL matching only tell you whether your client's brand was mentioned. They cannot tell you which specific article drove that mention, which is the key PR attribution data point.</w:t>
      </w:r>
    </w:p>
    <w:p>
      <w:pPr>
        <w:pStyle w:val="Heading 2"/>
      </w:pPr>
      <w:r>
        <w:rPr>
          <w:outline w:val="0"/>
          <w:color w:val="666e72"/>
          <w:u w:color="666e72"/>
          <w:rtl w:val="0"/>
          <w:lang w:val="en-US"/>
          <w14:textFill>
            <w14:solidFill>
              <w14:srgbClr w14:val="666E72"/>
            </w14:solidFill>
          </w14:textFill>
        </w:rPr>
        <w:t>3.2 Why URL monitoring alone is insufficient</w:t>
      </w:r>
    </w:p>
    <w:p>
      <w:pPr>
        <w:pStyle w:val="Heading 2"/>
      </w:pPr>
      <w:r>
        <w:rPr>
          <w:b w:val="0"/>
          <w:bCs w:val="0"/>
          <w:outline w:val="0"/>
          <w:color w:val="1a1a1a"/>
          <w:sz w:val="20"/>
          <w:szCs w:val="20"/>
          <w:u w:color="1a1a1a"/>
          <w:rtl w:val="0"/>
          <w:lang w:val="en-US"/>
          <w14:textFill>
            <w14:solidFill>
              <w14:srgbClr w14:val="1A1A1A"/>
            </w14:solidFill>
          </w14:textFill>
        </w:rPr>
        <w:t xml:space="preserve">Passively watching for a client's article URLs to appear in AI citations has no trigger mechanism. There is no way to know which queries to run, or when. Without prompts, the tool has no stimulus </w:t>
      </w:r>
      <w:r>
        <w:rPr>
          <w:b w:val="0"/>
          <w:bCs w:val="0"/>
          <w:outline w:val="0"/>
          <w:color w:val="1a1a1a"/>
          <w:sz w:val="20"/>
          <w:szCs w:val="20"/>
          <w:u w:color="1a1a1a"/>
          <w:rtl w:val="0"/>
          <w:lang w:val="en-US"/>
          <w14:textFill>
            <w14:solidFill>
              <w14:srgbClr w14:val="1A1A1A"/>
            </w14:solidFill>
          </w14:textFill>
        </w:rPr>
        <w:t xml:space="preserve">— </w:t>
      </w:r>
      <w:r>
        <w:rPr>
          <w:b w:val="0"/>
          <w:bCs w:val="0"/>
          <w:outline w:val="0"/>
          <w:color w:val="1a1a1a"/>
          <w:sz w:val="20"/>
          <w:szCs w:val="20"/>
          <w:u w:color="1a1a1a"/>
          <w:rtl w:val="0"/>
          <w:lang w:val="en-US"/>
          <w14:textFill>
            <w14:solidFill>
              <w14:srgbClr w14:val="1A1A1A"/>
            </w14:solidFill>
          </w14:textFill>
        </w:rPr>
        <w:t>it cannot know when to ask AI platforms a question and check the response.</w:t>
      </w:r>
    </w:p>
    <w:p>
      <w:pPr>
        <w:pStyle w:val="Heading 2"/>
      </w:pPr>
      <w:r>
        <w:rPr>
          <w:outline w:val="0"/>
          <w:color w:val="666e72"/>
          <w:u w:color="666e72"/>
          <w:rtl w:val="0"/>
          <w:lang w:val="en-US"/>
          <w14:textFill>
            <w14:solidFill>
              <w14:srgbClr w14:val="666E72"/>
            </w14:solidFill>
          </w14:textFill>
        </w:rPr>
        <w:t>3.3 The hybrid model</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6"/>
      </w:tblGrid>
      <w:tr>
        <w:tblPrEx>
          <w:shd w:val="clear" w:color="auto" w:fill="ced7e7"/>
        </w:tblPrEx>
        <w:trPr>
          <w:trHeight w:val="1754" w:hRule="atLeast"/>
        </w:trPr>
        <w:tc>
          <w:tcPr>
            <w:tcW w:type="dxa" w:w="9026"/>
            <w:tcBorders>
              <w:top w:val="single" w:color="ffc20e" w:sz="4" w:space="0" w:shadow="0" w:frame="0"/>
              <w:left w:val="single" w:color="ffc20e" w:sz="4" w:space="0" w:shadow="0" w:frame="0"/>
              <w:bottom w:val="single" w:color="ffc20e" w:sz="4" w:space="0" w:shadow="0" w:frame="0"/>
              <w:right w:val="single" w:color="ffc20e" w:sz="4" w:space="0" w:shadow="0" w:frame="0"/>
            </w:tcBorders>
            <w:shd w:val="clear" w:color="auto" w:fill="fffb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66e72"/>
                <w:sz w:val="20"/>
                <w:szCs w:val="20"/>
                <w:u w:color="666e72"/>
                <w:shd w:val="nil" w:color="auto" w:fill="auto"/>
                <w:rtl w:val="0"/>
                <w:lang w:val="en-US"/>
                <w14:textFill>
                  <w14:solidFill>
                    <w14:srgbClr w14:val="666E72"/>
                  </w14:solidFill>
                </w14:textFill>
              </w:rPr>
              <w:t>Core architecture principle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Prompt library = the stimulus. Defines which queries are submitted to AI platforms.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URL matching = the attribution engine. Identifies which specific press articles appear in the AI responses.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Together: you know what was asked, what AI said, and which exact article got cited.</w:t>
            </w:r>
          </w:p>
        </w:tc>
      </w:tr>
    </w:tbl>
    <w:p>
      <w:pPr>
        <w:pStyle w:val="Heading 2"/>
        <w:widowControl w:val="0"/>
      </w:pPr>
    </w:p>
    <w:p>
      <w:pPr>
        <w:pStyle w:val="Heading 2"/>
        <w:widowControl w:val="0"/>
      </w:pPr>
      <w:r>
        <w:rPr>
          <w:b w:val="0"/>
          <w:bCs w:val="0"/>
          <w:outline w:val="0"/>
          <w:color w:val="1a1a1a"/>
          <w:sz w:val="20"/>
          <w:szCs w:val="20"/>
          <w:u w:color="1a1a1a"/>
          <w:rtl w:val="0"/>
          <w:lang w:val="en-US"/>
          <w14:textFill>
            <w14:solidFill>
              <w14:srgbClr w14:val="1A1A1A"/>
            </w14:solidFill>
          </w14:textFill>
        </w:rPr>
        <w:t>The data flow is:</w:t>
      </w:r>
    </w:p>
    <w:p>
      <w:pPr>
        <w:pStyle w:val="List Paragraph"/>
        <w:numPr>
          <w:ilvl w:val="0"/>
          <w:numId w:val="2"/>
        </w:numPr>
        <w:spacing w:before="40" w:after="60"/>
        <w:rPr>
          <w:lang w:val="en-US"/>
        </w:rPr>
      </w:pPr>
      <w:r>
        <w:rPr>
          <w:rFonts w:ascii="Arial" w:hAnsi="Arial"/>
          <w:outline w:val="0"/>
          <w:color w:val="1a1a1a"/>
          <w:u w:color="1a1a1a"/>
          <w:rtl w:val="0"/>
          <w:lang w:val="en-US"/>
          <w14:textFill>
            <w14:solidFill>
              <w14:srgbClr w14:val="1A1A1A"/>
            </w14:solidFill>
          </w14:textFill>
        </w:rPr>
        <w:t xml:space="preserve">PCG maintains a prompt library per client </w:t>
      </w:r>
      <w:r>
        <w:rPr>
          <w:rFonts w:ascii="Arial" w:hAnsi="Arial" w:hint="default"/>
          <w:outline w:val="0"/>
          <w:color w:val="1a1a1a"/>
          <w:u w:color="1a1a1a"/>
          <w:rtl w:val="0"/>
          <w:lang w:val="en-US"/>
          <w14:textFill>
            <w14:solidFill>
              <w14:srgbClr w14:val="1A1A1A"/>
            </w14:solidFill>
          </w14:textFill>
        </w:rPr>
        <w:t xml:space="preserve">— </w:t>
      </w:r>
      <w:r>
        <w:rPr>
          <w:rFonts w:ascii="Arial" w:hAnsi="Arial"/>
          <w:outline w:val="0"/>
          <w:color w:val="1a1a1a"/>
          <w:u w:color="1a1a1a"/>
          <w:rtl w:val="0"/>
          <w14:textFill>
            <w14:solidFill>
              <w14:srgbClr w14:val="1A1A1A"/>
            </w14:solidFill>
          </w14:textFill>
        </w:rPr>
        <w:t>15</w:t>
      </w:r>
      <w:r>
        <w:rPr>
          <w:rFonts w:ascii="Arial" w:hAnsi="Arial" w:hint="default"/>
          <w:outline w:val="0"/>
          <w:color w:val="1a1a1a"/>
          <w:u w:color="1a1a1a"/>
          <w:rtl w:val="0"/>
          <w14:textFill>
            <w14:solidFill>
              <w14:srgbClr w14:val="1A1A1A"/>
            </w14:solidFill>
          </w14:textFill>
        </w:rPr>
        <w:t>–</w:t>
      </w:r>
      <w:r>
        <w:rPr>
          <w:rFonts w:ascii="Arial" w:hAnsi="Arial"/>
          <w:outline w:val="0"/>
          <w:color w:val="1a1a1a"/>
          <w:u w:color="1a1a1a"/>
          <w:rtl w:val="0"/>
          <w:lang w:val="en-US"/>
          <w14:textFill>
            <w14:solidFill>
              <w14:srgbClr w14:val="1A1A1A"/>
            </w14:solidFill>
          </w14:textFill>
        </w:rPr>
        <w:t>25 natural language queries categorised by type</w:t>
      </w:r>
    </w:p>
    <w:p>
      <w:pPr>
        <w:pStyle w:val="List Paragraph"/>
        <w:numPr>
          <w:ilvl w:val="0"/>
          <w:numId w:val="2"/>
        </w:numPr>
        <w:spacing w:before="40" w:after="60"/>
        <w:rPr>
          <w:lang w:val="fr-FR"/>
        </w:rPr>
      </w:pPr>
      <w:r>
        <w:rPr>
          <w:rFonts w:ascii="Arial" w:hAnsi="Arial"/>
          <w:outline w:val="0"/>
          <w:color w:val="1a1a1a"/>
          <w:u w:color="1a1a1a"/>
          <w:rtl w:val="0"/>
          <w:lang w:val="fr-FR"/>
          <w14:textFill>
            <w14:solidFill>
              <w14:srgbClr w14:val="1A1A1A"/>
            </w14:solidFill>
          </w14:textFill>
        </w:rPr>
        <w:t xml:space="preserve">On a </w:t>
      </w:r>
      <w:r>
        <w:rPr>
          <w:rFonts w:ascii="Arial" w:hAnsi="Arial"/>
          <w:outline w:val="0"/>
          <w:color w:val="1a1a1a"/>
          <w:u w:color="1a1a1a"/>
          <w:rtl w:val="0"/>
          <w:lang w:val="en-US"/>
          <w14:textFill>
            <w14:solidFill>
              <w14:srgbClr w14:val="1A1A1A"/>
            </w14:solidFill>
          </w14:textFill>
        </w:rPr>
        <w:t>set</w:t>
      </w:r>
      <w:r>
        <w:rPr>
          <w:rFonts w:ascii="Arial" w:hAnsi="Arial"/>
          <w:outline w:val="0"/>
          <w:color w:val="1a1a1a"/>
          <w:u w:color="1a1a1a"/>
          <w:rtl w:val="0"/>
          <w:lang w:val="en-US"/>
          <w14:textFill>
            <w14:solidFill>
              <w14:srgbClr w14:val="1A1A1A"/>
            </w14:solidFill>
          </w14:textFill>
        </w:rPr>
        <w:t xml:space="preserve"> schedule, the tool submits each prompt to the target AI platforms via API</w:t>
      </w:r>
    </w:p>
    <w:p>
      <w:pPr>
        <w:pStyle w:val="List Paragraph"/>
        <w:numPr>
          <w:ilvl w:val="0"/>
          <w:numId w:val="2"/>
        </w:numPr>
        <w:spacing w:before="40" w:after="60"/>
        <w:rPr>
          <w:lang w:val="en-US"/>
        </w:rPr>
      </w:pPr>
      <w:r>
        <w:rPr>
          <w:rFonts w:ascii="Arial" w:hAnsi="Arial"/>
          <w:outline w:val="0"/>
          <w:color w:val="1a1a1a"/>
          <w:u w:color="1a1a1a"/>
          <w:rtl w:val="0"/>
          <w:lang w:val="en-US"/>
          <w14:textFill>
            <w14:solidFill>
              <w14:srgbClr w14:val="1A1A1A"/>
            </w14:solidFill>
          </w14:textFill>
        </w:rPr>
        <w:t>The full response and all cited URLs are captured and stored</w:t>
      </w:r>
    </w:p>
    <w:p>
      <w:pPr>
        <w:pStyle w:val="List Paragraph"/>
        <w:numPr>
          <w:ilvl w:val="0"/>
          <w:numId w:val="2"/>
        </w:numPr>
        <w:spacing w:before="40" w:after="60"/>
        <w:rPr>
          <w:lang w:val="en-US"/>
        </w:rPr>
      </w:pPr>
      <w:r>
        <w:rPr>
          <w:rFonts w:ascii="Arial" w:hAnsi="Arial"/>
          <w:outline w:val="0"/>
          <w:color w:val="1a1a1a"/>
          <w:u w:color="1a1a1a"/>
          <w:rtl w:val="0"/>
          <w:lang w:val="en-US"/>
          <w14:textFill>
            <w14:solidFill>
              <w14:srgbClr w14:val="1A1A1A"/>
            </w14:solidFill>
          </w14:textFill>
        </w:rPr>
        <w:t>Cited URLs are matched against the client's article URL list</w:t>
      </w:r>
    </w:p>
    <w:p>
      <w:pPr>
        <w:pStyle w:val="List Paragraph"/>
        <w:numPr>
          <w:ilvl w:val="0"/>
          <w:numId w:val="2"/>
        </w:numPr>
        <w:spacing w:before="40" w:after="60"/>
        <w:rPr>
          <w:lang w:val="en-US"/>
        </w:rPr>
      </w:pPr>
      <w:r>
        <w:rPr>
          <w:rFonts w:ascii="Arial" w:hAnsi="Arial"/>
          <w:outline w:val="0"/>
          <w:color w:val="1a1a1a"/>
          <w:u w:color="1a1a1a"/>
          <w:rtl w:val="0"/>
          <w:lang w:val="en-US"/>
          <w14:textFill>
            <w14:solidFill>
              <w14:srgbClr w14:val="1A1A1A"/>
            </w14:solidFill>
          </w14:textFill>
        </w:rPr>
        <w:t>Matches are flagged as confirmed citations and aggregated into monthly metrics</w:t>
      </w:r>
    </w:p>
    <w:p>
      <w:pPr>
        <w:pStyle w:val="List Paragraph"/>
        <w:numPr>
          <w:ilvl w:val="0"/>
          <w:numId w:val="2"/>
        </w:numPr>
        <w:spacing w:before="40" w:after="60"/>
        <w:rPr>
          <w:lang w:val="en-US"/>
        </w:rPr>
      </w:pPr>
      <w:r>
        <w:rPr>
          <w:rFonts w:ascii="Arial" w:hAnsi="Arial"/>
          <w:outline w:val="0"/>
          <w:color w:val="1a1a1a"/>
          <w:u w:color="1a1a1a"/>
          <w:rtl w:val="0"/>
          <w:lang w:val="en-US"/>
          <w14:textFill>
            <w14:solidFill>
              <w14:srgbClr w14:val="1A1A1A"/>
            </w14:solidFill>
          </w14:textFill>
        </w:rPr>
        <w:t>A summary report is generated and made available for export</w:t>
      </w:r>
    </w:p>
    <w:p>
      <w:pPr>
        <w:pStyle w:val="List Paragraph"/>
        <w:spacing w:before="40" w:after="60"/>
      </w:pPr>
    </w:p>
    <w:p>
      <w:pPr>
        <w:pStyle w:val="Heading"/>
      </w:pPr>
      <w:r>
        <w:rPr>
          <w:outline w:val="0"/>
          <w:color w:val="1a1a1a"/>
          <w:u w:color="1a1a1a"/>
          <w:rtl w:val="0"/>
          <w:lang w:val="en-US"/>
          <w14:textFill>
            <w14:solidFill>
              <w14:srgbClr w14:val="1A1A1A"/>
            </w14:solidFill>
          </w14:textFill>
        </w:rPr>
        <w:t>4. Functional Requirements</w:t>
      </w:r>
    </w:p>
    <w:p>
      <w:pPr>
        <w:pStyle w:val="Heading 2"/>
      </w:pPr>
      <w:r>
        <w:rPr>
          <w:outline w:val="0"/>
          <w:color w:val="666e72"/>
          <w:u w:color="666e72"/>
          <w:rtl w:val="0"/>
          <w:lang w:val="en-US"/>
          <w14:textFill>
            <w14:solidFill>
              <w14:srgbClr w14:val="666E72"/>
            </w14:solidFill>
          </w14:textFill>
        </w:rPr>
        <w:t>4.1 Client &amp; Article Management</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Create and manage client profiles</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Per client: maintain a list of press article URLs (the coverage log)</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Article entries should include: URL, outlet name, publish date, headline</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Agency</w:t>
      </w:r>
      <w:r>
        <w:rPr>
          <w:rFonts w:ascii="Arial" w:hAnsi="Arial"/>
          <w:outline w:val="0"/>
          <w:color w:val="1a1a1a"/>
          <w:u w:color="1a1a1a"/>
          <w:rtl w:val="0"/>
          <w:lang w:val="en-US"/>
          <w14:textFill>
            <w14:solidFill>
              <w14:srgbClr w14:val="1A1A1A"/>
            </w14:solidFill>
          </w14:textFill>
        </w:rPr>
        <w:t xml:space="preserve"> will update the article list monthly after coverage is secured</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Support bulk URL import (CSV upload) as well as manual entry</w:t>
      </w:r>
    </w:p>
    <w:p>
      <w:pPr>
        <w:pStyle w:val="Heading 2"/>
      </w:pPr>
      <w:r>
        <w:rPr>
          <w:outline w:val="0"/>
          <w:color w:val="666e72"/>
          <w:u w:color="666e72"/>
          <w:rtl w:val="0"/>
          <w:lang w:val="en-US"/>
          <w14:textFill>
            <w14:solidFill>
              <w14:srgbClr w14:val="666E72"/>
            </w14:solidFill>
          </w14:textFill>
        </w:rPr>
        <w:t>4.2 Prompt Library</w:t>
      </w:r>
      <w:r>
        <w:rPr>
          <w:outline w:val="0"/>
          <w:color w:val="666e72"/>
          <w:u w:color="666e72"/>
          <w:rtl w:val="0"/>
          <w:lang w:val="en-US"/>
          <w14:textFill>
            <w14:solidFill>
              <w14:srgbClr w14:val="666E72"/>
            </w14:solidFill>
          </w14:textFill>
        </w:rPr>
        <w:t xml:space="preserve"> [Or any other way you guys recommend]</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Create and store named prompt libraries per client</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Each prompt tagged by category: Brand / Category / Competitor / Topic / Claim</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 xml:space="preserve">Prompts are fixed month-to-month unless manually edited </w:t>
      </w:r>
      <w:r>
        <w:rPr>
          <w:rFonts w:ascii="Arial" w:hAnsi="Arial" w:hint="default"/>
          <w:outline w:val="0"/>
          <w:color w:val="1a1a1a"/>
          <w:u w:color="1a1a1a"/>
          <w:rtl w:val="0"/>
          <w:lang w:val="en-US"/>
          <w14:textFill>
            <w14:solidFill>
              <w14:srgbClr w14:val="1A1A1A"/>
            </w14:solidFill>
          </w14:textFill>
        </w:rPr>
        <w:t xml:space="preserve">— </w:t>
      </w:r>
      <w:r>
        <w:rPr>
          <w:rFonts w:ascii="Arial" w:hAnsi="Arial"/>
          <w:outline w:val="0"/>
          <w:color w:val="1a1a1a"/>
          <w:u w:color="1a1a1a"/>
          <w:rtl w:val="0"/>
          <w:lang w:val="en-US"/>
          <w14:textFill>
            <w14:solidFill>
              <w14:srgbClr w14:val="1A1A1A"/>
            </w14:solidFill>
          </w14:textFill>
        </w:rPr>
        <w:t>this is critical for comparability</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Version history: if a prompt is edited, retain the prior version and flag the change in reporting</w:t>
      </w:r>
    </w:p>
    <w:p>
      <w:pPr>
        <w:pStyle w:val="List Paragraph"/>
        <w:numPr>
          <w:ilvl w:val="0"/>
          <w:numId w:val="4"/>
        </w:numPr>
        <w:spacing w:before="40" w:after="60"/>
        <w:rPr>
          <w:lang w:val="it-IT"/>
        </w:rPr>
      </w:pPr>
      <w:r>
        <w:rPr>
          <w:rFonts w:ascii="Arial" w:hAnsi="Arial"/>
          <w:outline w:val="0"/>
          <w:color w:val="1a1a1a"/>
          <w:u w:color="1a1a1a"/>
          <w:rtl w:val="0"/>
          <w:lang w:val="it-IT"/>
          <w14:textFill>
            <w14:solidFill>
              <w14:srgbClr w14:val="1A1A1A"/>
            </w14:solidFill>
          </w14:textFill>
        </w:rPr>
        <w:t>Support 15</w:t>
      </w:r>
      <w:r>
        <w:rPr>
          <w:rFonts w:ascii="Arial" w:hAnsi="Arial" w:hint="default"/>
          <w:outline w:val="0"/>
          <w:color w:val="1a1a1a"/>
          <w:u w:color="1a1a1a"/>
          <w:rtl w:val="0"/>
          <w14:textFill>
            <w14:solidFill>
              <w14:srgbClr w14:val="1A1A1A"/>
            </w14:solidFill>
          </w14:textFill>
        </w:rPr>
        <w:t>–</w:t>
      </w:r>
      <w:r>
        <w:rPr>
          <w:rFonts w:ascii="Arial" w:hAnsi="Arial"/>
          <w:outline w:val="0"/>
          <w:color w:val="1a1a1a"/>
          <w:u w:color="1a1a1a"/>
          <w:rtl w:val="0"/>
          <w:lang w:val="en-US"/>
          <w14:textFill>
            <w14:solidFill>
              <w14:srgbClr w14:val="1A1A1A"/>
            </w14:solidFill>
          </w14:textFill>
        </w:rPr>
        <w:t>30 prompts per client</w:t>
      </w:r>
    </w:p>
    <w:p>
      <w:pPr>
        <w:pStyle w:val="List Paragraph"/>
        <w:spacing w:before="40" w:after="60"/>
      </w:pPr>
    </w:p>
    <w:p>
      <w:pPr>
        <w:pStyle w:val="Heading 2"/>
      </w:pPr>
      <w:r>
        <w:rPr>
          <w:outline w:val="0"/>
          <w:color w:val="666e72"/>
          <w:u w:color="666e72"/>
          <w:rtl w:val="0"/>
          <w:lang w:val="en-US"/>
          <w14:textFill>
            <w14:solidFill>
              <w14:srgbClr w14:val="666E72"/>
            </w14:solidFill>
          </w14:textFill>
        </w:rPr>
        <w:t xml:space="preserve">What we want to track? </w:t>
      </w:r>
    </w:p>
    <w:p>
      <w:pPr>
        <w:pStyle w:val="Heading 2"/>
        <w:widowControl w:val="0"/>
        <w:numPr>
          <w:ilvl w:val="0"/>
          <w:numId w:val="6"/>
        </w:numPr>
        <w:rPr>
          <w:b w:val="0"/>
          <w:bCs w:val="0"/>
          <w:outline w:val="0"/>
          <w:color w:val="1a1a1a"/>
          <w:sz w:val="20"/>
          <w:szCs w:val="20"/>
          <w:u w:color="1a1a1a"/>
          <w:lang w:val="en-US"/>
          <w14:textFill>
            <w14:solidFill>
              <w14:srgbClr w14:val="1A1A1A"/>
            </w14:solidFill>
          </w14:textFill>
        </w:rPr>
      </w:pPr>
      <w:r>
        <w:rPr>
          <w:b w:val="0"/>
          <w:bCs w:val="0"/>
          <w:outline w:val="0"/>
          <w:color w:val="1a1a1a"/>
          <w:sz w:val="20"/>
          <w:szCs w:val="20"/>
          <w:u w:color="1a1a1a"/>
          <w:rtl w:val="0"/>
          <w:lang w:val="en-US"/>
          <w14:textFill>
            <w14:solidFill>
              <w14:srgbClr w14:val="1A1A1A"/>
            </w14:solidFill>
          </w14:textFill>
        </w:rPr>
        <w:t xml:space="preserve">Primary: How many times a particular article was featured in a search query this month </w:t>
      </w:r>
    </w:p>
    <w:p>
      <w:pPr>
        <w:pStyle w:val="Heading 2"/>
        <w:widowControl w:val="0"/>
        <w:numPr>
          <w:ilvl w:val="0"/>
          <w:numId w:val="6"/>
        </w:numPr>
        <w:rPr>
          <w:b w:val="0"/>
          <w:bCs w:val="0"/>
          <w:outline w:val="0"/>
          <w:color w:val="1a1a1a"/>
          <w:sz w:val="20"/>
          <w:szCs w:val="20"/>
          <w:u w:color="1a1a1a"/>
          <w:lang w:val="en-US"/>
          <w14:textFill>
            <w14:solidFill>
              <w14:srgbClr w14:val="1A1A1A"/>
            </w14:solidFill>
          </w14:textFill>
        </w:rPr>
      </w:pPr>
      <w:r>
        <w:rPr>
          <w:b w:val="0"/>
          <w:bCs w:val="0"/>
          <w:outline w:val="0"/>
          <w:color w:val="1a1a1a"/>
          <w:sz w:val="20"/>
          <w:szCs w:val="20"/>
          <w:u w:color="1a1a1a"/>
          <w:rtl w:val="0"/>
          <w:lang w:val="en-US"/>
          <w14:textFill>
            <w14:solidFill>
              <w14:srgbClr w14:val="1A1A1A"/>
            </w14:solidFill>
          </w14:textFill>
        </w:rPr>
        <w:t>Secondary: How many times the article that was published THIS month was featured in a search query</w:t>
      </w:r>
    </w:p>
    <w:p>
      <w:pPr>
        <w:pStyle w:val="Heading 2"/>
        <w:widowControl w:val="0"/>
      </w:pPr>
    </w:p>
    <w:p>
      <w:pPr>
        <w:pStyle w:val="Heading 2"/>
      </w:pPr>
      <w:r>
        <w:rPr>
          <w:outline w:val="0"/>
          <w:color w:val="666e72"/>
          <w:u w:color="666e72"/>
          <w:rtl w:val="0"/>
          <w:lang w:val="en-US"/>
          <w14:textFill>
            <w14:solidFill>
              <w14:srgbClr w14:val="666E72"/>
            </w14:solidFill>
          </w14:textFill>
        </w:rPr>
        <w:t>4.4 Citation Extraction &amp; URL Matching</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Parse AI response to extract all cited URLs</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Normalise URLs before matching (strip UTM parameters, handle redirects, handle AMP variants of the same article)</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Match extracted URLs against the client article list</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Flag matched URLs as confirmed citations</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 xml:space="preserve">Store unmatched URLs separately </w:t>
      </w:r>
      <w:r>
        <w:rPr>
          <w:rFonts w:ascii="Arial" w:hAnsi="Arial" w:hint="default"/>
          <w:outline w:val="0"/>
          <w:color w:val="1a1a1a"/>
          <w:u w:color="1a1a1a"/>
          <w:rtl w:val="0"/>
          <w:lang w:val="en-US"/>
          <w14:textFill>
            <w14:solidFill>
              <w14:srgbClr w14:val="1A1A1A"/>
            </w14:solidFill>
          </w14:textFill>
        </w:rPr>
        <w:t xml:space="preserve">— </w:t>
      </w:r>
      <w:r>
        <w:rPr>
          <w:rFonts w:ascii="Arial" w:hAnsi="Arial"/>
          <w:outline w:val="0"/>
          <w:color w:val="1a1a1a"/>
          <w:u w:color="1a1a1a"/>
          <w:rtl w:val="0"/>
          <w:lang w:val="en-US"/>
          <w14:textFill>
            <w14:solidFill>
              <w14:srgbClr w14:val="1A1A1A"/>
            </w14:solidFill>
          </w14:textFill>
        </w:rPr>
        <w:t>these are competitor or third-party citations, also reportable</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 xml:space="preserve">Handle cases where AI cites the outlet homepage rather than the specific article </w:t>
      </w:r>
      <w:r>
        <w:rPr>
          <w:rFonts w:ascii="Arial" w:hAnsi="Arial" w:hint="default"/>
          <w:outline w:val="0"/>
          <w:color w:val="1a1a1a"/>
          <w:u w:color="1a1a1a"/>
          <w:rtl w:val="0"/>
          <w:lang w:val="en-US"/>
          <w14:textFill>
            <w14:solidFill>
              <w14:srgbClr w14:val="1A1A1A"/>
            </w14:solidFill>
          </w14:textFill>
        </w:rPr>
        <w:t xml:space="preserve">— </w:t>
      </w:r>
      <w:r>
        <w:rPr>
          <w:rFonts w:ascii="Arial" w:hAnsi="Arial"/>
          <w:outline w:val="0"/>
          <w:color w:val="1a1a1a"/>
          <w:u w:color="1a1a1a"/>
          <w:rtl w:val="0"/>
          <w:lang w:val="en-US"/>
          <w14:textFill>
            <w14:solidFill>
              <w14:srgbClr w14:val="1A1A1A"/>
            </w14:solidFill>
          </w14:textFill>
        </w:rPr>
        <w:t>flag as partial match for manual review</w:t>
      </w:r>
    </w:p>
    <w:p>
      <w:pPr>
        <w:pStyle w:val="List Paragraph"/>
        <w:spacing w:before="40" w:after="60"/>
      </w:pPr>
    </w:p>
    <w:p>
      <w:pPr>
        <w:pStyle w:val="Heading 2"/>
      </w:pPr>
      <w:r>
        <w:rPr>
          <w:outline w:val="0"/>
          <w:color w:val="666e72"/>
          <w:u w:color="666e72"/>
          <w:rtl w:val="0"/>
          <w:lang w:val="en-US"/>
          <w14:textFill>
            <w14:solidFill>
              <w14:srgbClr w14:val="666E72"/>
            </w14:solidFill>
          </w14:textFill>
        </w:rPr>
        <w:t>4.5 Monthly Metrics &amp; Reporting</w:t>
      </w:r>
    </w:p>
    <w:p>
      <w:pPr>
        <w:pStyle w:val="Heading 2"/>
      </w:pPr>
      <w:r>
        <w:rPr>
          <w:b w:val="0"/>
          <w:bCs w:val="0"/>
          <w:outline w:val="0"/>
          <w:color w:val="1a1a1a"/>
          <w:sz w:val="20"/>
          <w:szCs w:val="20"/>
          <w:u w:color="1a1a1a"/>
          <w:rtl w:val="0"/>
          <w:lang w:val="en-US"/>
          <w14:textFill>
            <w14:solidFill>
              <w14:srgbClr w14:val="1A1A1A"/>
            </w14:solidFill>
          </w14:textFill>
        </w:rPr>
        <w:t xml:space="preserve">Is the below metric possible? </w:t>
      </w:r>
    </w:p>
    <w:tbl>
      <w:tblPr>
        <w:tblW w:w="901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96"/>
        <w:gridCol w:w="2798"/>
        <w:gridCol w:w="3023"/>
      </w:tblGrid>
      <w:tr>
        <w:tblPrEx>
          <w:shd w:val="clear" w:color="auto" w:fill="4f81bd"/>
        </w:tblPrEx>
        <w:trPr>
          <w:trHeight w:val="197" w:hRule="atLeast"/>
          <w:tblHeader/>
        </w:trPr>
        <w:tc>
          <w:tcPr>
            <w:tcW w:type="dxa" w:w="319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666e7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Metric</w:t>
            </w:r>
          </w:p>
        </w:tc>
        <w:tc>
          <w:tcPr>
            <w:tcW w:type="dxa" w:w="2797"/>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666e7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Calculation</w:t>
            </w:r>
          </w:p>
        </w:tc>
        <w:tc>
          <w:tcPr>
            <w:tcW w:type="dxa" w:w="302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666e7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Reported as</w:t>
            </w:r>
          </w:p>
        </w:tc>
      </w:tr>
      <w:tr>
        <w:tblPrEx>
          <w:shd w:val="clear" w:color="auto" w:fill="ced7e7"/>
        </w:tblPrEx>
        <w:trPr>
          <w:trHeight w:val="435" w:hRule="atLeast"/>
        </w:trPr>
        <w:tc>
          <w:tcPr>
            <w:tcW w:type="dxa" w:w="319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Citation Rate</w:t>
            </w:r>
          </w:p>
        </w:tc>
        <w:tc>
          <w:tcPr>
            <w:tcW w:type="dxa" w:w="2797"/>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Prompts with </w:t>
            </w:r>
            <w:r>
              <w:rPr>
                <w:rFonts w:ascii="Arial" w:hAnsi="Arial" w:hint="default"/>
                <w:outline w:val="0"/>
                <w:color w:val="1a1a1a"/>
                <w:sz w:val="18"/>
                <w:szCs w:val="18"/>
                <w:u w:color="1a1a1a"/>
                <w:shd w:val="nil" w:color="auto" w:fill="auto"/>
                <w:rtl w:val="0"/>
                <w14:textFill>
                  <w14:solidFill>
                    <w14:srgbClr w14:val="1A1A1A"/>
                  </w14:solidFill>
                </w14:textFill>
              </w:rPr>
              <w:t>≥</w:t>
            </w:r>
            <w:r>
              <w:rPr>
                <w:rFonts w:ascii="Arial" w:hAnsi="Arial"/>
                <w:outline w:val="0"/>
                <w:color w:val="1a1a1a"/>
                <w:sz w:val="18"/>
                <w:szCs w:val="18"/>
                <w:u w:color="1a1a1a"/>
                <w:shd w:val="nil" w:color="auto" w:fill="auto"/>
                <w:rtl w:val="0"/>
                <w:lang w:val="fr-FR"/>
                <w14:textFill>
                  <w14:solidFill>
                    <w14:srgbClr w14:val="1A1A1A"/>
                  </w14:solidFill>
                </w14:textFill>
              </w:rPr>
              <w:t xml:space="preserve">1 client citation </w:t>
            </w:r>
            <w:r>
              <w:rPr>
                <w:rFonts w:ascii="Arial" w:hAnsi="Arial" w:hint="default"/>
                <w:outline w:val="0"/>
                <w:color w:val="1a1a1a"/>
                <w:sz w:val="18"/>
                <w:szCs w:val="18"/>
                <w:u w:color="1a1a1a"/>
                <w:shd w:val="nil" w:color="auto" w:fill="auto"/>
                <w:rtl w:val="0"/>
                <w14:textFill>
                  <w14:solidFill>
                    <w14:srgbClr w14:val="1A1A1A"/>
                  </w14:solidFill>
                </w14:textFill>
              </w:rPr>
              <w:t xml:space="preserve">÷ </w:t>
            </w:r>
            <w:r>
              <w:rPr>
                <w:rFonts w:ascii="Arial" w:hAnsi="Arial"/>
                <w:outline w:val="0"/>
                <w:color w:val="1a1a1a"/>
                <w:sz w:val="18"/>
                <w:szCs w:val="18"/>
                <w:u w:color="1a1a1a"/>
                <w:shd w:val="nil" w:color="auto" w:fill="auto"/>
                <w:rtl w:val="0"/>
                <w:lang w:val="fr-FR"/>
                <w14:textFill>
                  <w14:solidFill>
                    <w14:srgbClr w14:val="1A1A1A"/>
                  </w14:solidFill>
                </w14:textFill>
              </w:rPr>
              <w:t>total prompts</w:t>
            </w:r>
          </w:p>
        </w:tc>
        <w:tc>
          <w:tcPr>
            <w:tcW w:type="dxa" w:w="302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14:textFill>
                  <w14:solidFill>
                    <w14:srgbClr w14:val="1A1A1A"/>
                  </w14:solidFill>
                </w14:textFill>
              </w:rPr>
              <w:t xml:space="preserve">%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month + trend arrow</w:t>
            </w:r>
          </w:p>
        </w:tc>
      </w:tr>
      <w:tr>
        <w:tblPrEx>
          <w:shd w:val="clear" w:color="auto" w:fill="ced7e7"/>
        </w:tblPrEx>
        <w:trPr>
          <w:trHeight w:val="674" w:hRule="atLeast"/>
        </w:trPr>
        <w:tc>
          <w:tcPr>
            <w:tcW w:type="dxa" w:w="319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Brand Mention Rate</w:t>
            </w:r>
          </w:p>
        </w:tc>
        <w:tc>
          <w:tcPr>
            <w:tcW w:type="dxa" w:w="2797"/>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Prompts where brand name appears in response body </w:t>
            </w:r>
            <w:r>
              <w:rPr>
                <w:rFonts w:ascii="Arial" w:hAnsi="Arial" w:hint="default"/>
                <w:outline w:val="0"/>
                <w:color w:val="1a1a1a"/>
                <w:sz w:val="18"/>
                <w:szCs w:val="18"/>
                <w:u w:color="1a1a1a"/>
                <w:shd w:val="nil" w:color="auto" w:fill="auto"/>
                <w:rtl w:val="0"/>
                <w14:textFill>
                  <w14:solidFill>
                    <w14:srgbClr w14:val="1A1A1A"/>
                  </w14:solidFill>
                </w14:textFill>
              </w:rPr>
              <w:t xml:space="preserve">÷ </w:t>
            </w:r>
            <w:r>
              <w:rPr>
                <w:rFonts w:ascii="Arial" w:hAnsi="Arial"/>
                <w:outline w:val="0"/>
                <w:color w:val="1a1a1a"/>
                <w:sz w:val="18"/>
                <w:szCs w:val="18"/>
                <w:u w:color="1a1a1a"/>
                <w:shd w:val="nil" w:color="auto" w:fill="auto"/>
                <w:rtl w:val="0"/>
                <w:lang w:val="fr-FR"/>
                <w14:textFill>
                  <w14:solidFill>
                    <w14:srgbClr w14:val="1A1A1A"/>
                  </w14:solidFill>
                </w14:textFill>
              </w:rPr>
              <w:t>total prompts</w:t>
            </w:r>
          </w:p>
        </w:tc>
        <w:tc>
          <w:tcPr>
            <w:tcW w:type="dxa" w:w="302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14:textFill>
                  <w14:solidFill>
                    <w14:srgbClr w14:val="1A1A1A"/>
                  </w14:solidFill>
                </w14:textFill>
              </w:rPr>
              <w:t xml:space="preserve">%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month + trend arrow</w:t>
            </w:r>
          </w:p>
        </w:tc>
      </w:tr>
      <w:tr>
        <w:tblPrEx>
          <w:shd w:val="clear" w:color="auto" w:fill="ced7e7"/>
        </w:tblPrEx>
        <w:trPr>
          <w:trHeight w:val="435" w:hRule="atLeast"/>
        </w:trPr>
        <w:tc>
          <w:tcPr>
            <w:tcW w:type="dxa" w:w="319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Total Citations</w:t>
            </w:r>
          </w:p>
        </w:tc>
        <w:tc>
          <w:tcPr>
            <w:tcW w:type="dxa" w:w="2797"/>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Count of confirmed citation instances (not unique articles)</w:t>
            </w:r>
          </w:p>
        </w:tc>
        <w:tc>
          <w:tcPr>
            <w:tcW w:type="dxa" w:w="302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nl-NL"/>
                <w14:textFill>
                  <w14:solidFill>
                    <w14:srgbClr w14:val="1A1A1A"/>
                  </w14:solidFill>
                </w14:textFill>
              </w:rPr>
              <w:t xml:space="preserve">Integer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month + MoM delta</w:t>
            </w:r>
          </w:p>
        </w:tc>
      </w:tr>
      <w:tr>
        <w:tblPrEx>
          <w:shd w:val="clear" w:color="auto" w:fill="ced7e7"/>
        </w:tblPrEx>
        <w:trPr>
          <w:trHeight w:val="435" w:hRule="atLeast"/>
        </w:trPr>
        <w:tc>
          <w:tcPr>
            <w:tcW w:type="dxa" w:w="319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fr-FR"/>
                <w14:textFill>
                  <w14:solidFill>
                    <w14:srgbClr w14:val="1A1A1A"/>
                  </w14:solidFill>
                </w14:textFill>
              </w:rPr>
              <w:t>Unique Articles Cited</w:t>
            </w:r>
          </w:p>
        </w:tc>
        <w:tc>
          <w:tcPr>
            <w:tcW w:type="dxa" w:w="2797"/>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Count of distinct article URLs cited at least once</w:t>
            </w:r>
          </w:p>
        </w:tc>
        <w:tc>
          <w:tcPr>
            <w:tcW w:type="dxa" w:w="302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nl-NL"/>
                <w14:textFill>
                  <w14:solidFill>
                    <w14:srgbClr w14:val="1A1A1A"/>
                  </w14:solidFill>
                </w14:textFill>
              </w:rPr>
              <w:t xml:space="preserve">Integer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month + MoM delta</w:t>
            </w:r>
          </w:p>
        </w:tc>
      </w:tr>
      <w:tr>
        <w:tblPrEx>
          <w:shd w:val="clear" w:color="auto" w:fill="ced7e7"/>
        </w:tblPrEx>
        <w:trPr>
          <w:trHeight w:val="435" w:hRule="atLeast"/>
        </w:trPr>
        <w:tc>
          <w:tcPr>
            <w:tcW w:type="dxa" w:w="319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Top Cited Articles</w:t>
            </w:r>
          </w:p>
        </w:tc>
        <w:tc>
          <w:tcPr>
            <w:tcW w:type="dxa" w:w="2797"/>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Ranked by citation frequency across all prompts + platforms</w:t>
            </w:r>
          </w:p>
        </w:tc>
        <w:tc>
          <w:tcPr>
            <w:tcW w:type="dxa" w:w="302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fr-FR"/>
                <w14:textFill>
                  <w14:solidFill>
                    <w14:srgbClr w14:val="1A1A1A"/>
                  </w14:solidFill>
                </w14:textFill>
              </w:rPr>
              <w:t xml:space="preserve">Table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top 5 with outlet + date</w:t>
            </w:r>
          </w:p>
        </w:tc>
      </w:tr>
      <w:tr>
        <w:tblPrEx>
          <w:shd w:val="clear" w:color="auto" w:fill="ced7e7"/>
        </w:tblPrEx>
        <w:trPr>
          <w:trHeight w:val="197" w:hRule="atLeast"/>
        </w:trPr>
        <w:tc>
          <w:tcPr>
            <w:tcW w:type="dxa" w:w="319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Platform Breakdown</w:t>
            </w:r>
          </w:p>
        </w:tc>
        <w:tc>
          <w:tcPr>
            <w:tcW w:type="dxa" w:w="2797"/>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Citation rate per platform</w:t>
            </w:r>
          </w:p>
        </w:tc>
        <w:tc>
          <w:tcPr>
            <w:tcW w:type="dxa" w:w="302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14:textFill>
                  <w14:solidFill>
                    <w14:srgbClr w14:val="1A1A1A"/>
                  </w14:solidFill>
                </w14:textFill>
              </w:rPr>
              <w:t xml:space="preserve">Bar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14:textFill>
                  <w14:solidFill>
                    <w14:srgbClr w14:val="1A1A1A"/>
                  </w14:solidFill>
                </w14:textFill>
              </w:rPr>
              <w:t>per platform</w:t>
            </w:r>
          </w:p>
        </w:tc>
      </w:tr>
      <w:tr>
        <w:tblPrEx>
          <w:shd w:val="clear" w:color="auto" w:fill="ced7e7"/>
        </w:tblPrEx>
        <w:trPr>
          <w:trHeight w:val="435" w:hRule="atLeast"/>
        </w:trPr>
        <w:tc>
          <w:tcPr>
            <w:tcW w:type="dxa" w:w="319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Share of AI Voice</w:t>
            </w:r>
          </w:p>
        </w:tc>
        <w:tc>
          <w:tcPr>
            <w:tcW w:type="dxa" w:w="2797"/>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fr-FR"/>
                <w14:textFill>
                  <w14:solidFill>
                    <w14:srgbClr w14:val="1A1A1A"/>
                  </w14:solidFill>
                </w14:textFill>
              </w:rPr>
              <w:t xml:space="preserve">Client citations </w:t>
            </w:r>
            <w:r>
              <w:rPr>
                <w:rFonts w:ascii="Arial" w:hAnsi="Arial" w:hint="default"/>
                <w:outline w:val="0"/>
                <w:color w:val="1a1a1a"/>
                <w:sz w:val="18"/>
                <w:szCs w:val="18"/>
                <w:u w:color="1a1a1a"/>
                <w:shd w:val="nil" w:color="auto" w:fill="auto"/>
                <w:rtl w:val="0"/>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(client + competitor citations)</w:t>
            </w:r>
          </w:p>
        </w:tc>
        <w:tc>
          <w:tcPr>
            <w:tcW w:type="dxa" w:w="302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14:textFill>
                  <w14:solidFill>
                    <w14:srgbClr w14:val="1A1A1A"/>
                  </w14:solidFill>
                </w14:textFill>
              </w:rPr>
              <w:t xml:space="preserve">%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month + trend arrow</w:t>
            </w:r>
          </w:p>
        </w:tc>
      </w:tr>
      <w:tr>
        <w:tblPrEx>
          <w:shd w:val="clear" w:color="auto" w:fill="ced7e7"/>
        </w:tblPrEx>
        <w:trPr>
          <w:trHeight w:val="435" w:hRule="atLeast"/>
        </w:trPr>
        <w:tc>
          <w:tcPr>
            <w:tcW w:type="dxa" w:w="319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Competitor Citation Rate</w:t>
            </w:r>
          </w:p>
        </w:tc>
        <w:tc>
          <w:tcPr>
            <w:tcW w:type="dxa" w:w="2797"/>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Prompts where a competitor article is cited </w:t>
            </w:r>
            <w:r>
              <w:rPr>
                <w:rFonts w:ascii="Arial" w:hAnsi="Arial" w:hint="default"/>
                <w:outline w:val="0"/>
                <w:color w:val="1a1a1a"/>
                <w:sz w:val="18"/>
                <w:szCs w:val="18"/>
                <w:u w:color="1a1a1a"/>
                <w:shd w:val="nil" w:color="auto" w:fill="auto"/>
                <w:rtl w:val="0"/>
                <w14:textFill>
                  <w14:solidFill>
                    <w14:srgbClr w14:val="1A1A1A"/>
                  </w14:solidFill>
                </w14:textFill>
              </w:rPr>
              <w:t xml:space="preserve">÷ </w:t>
            </w:r>
            <w:r>
              <w:rPr>
                <w:rFonts w:ascii="Arial" w:hAnsi="Arial"/>
                <w:outline w:val="0"/>
                <w:color w:val="1a1a1a"/>
                <w:sz w:val="18"/>
                <w:szCs w:val="18"/>
                <w:u w:color="1a1a1a"/>
                <w:shd w:val="nil" w:color="auto" w:fill="auto"/>
                <w:rtl w:val="0"/>
                <w:lang w:val="fr-FR"/>
                <w14:textFill>
                  <w14:solidFill>
                    <w14:srgbClr w14:val="1A1A1A"/>
                  </w14:solidFill>
                </w14:textFill>
              </w:rPr>
              <w:t>total prompts</w:t>
            </w:r>
          </w:p>
        </w:tc>
        <w:tc>
          <w:tcPr>
            <w:tcW w:type="dxa" w:w="3023"/>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14:textFill>
                  <w14:solidFill>
                    <w14:srgbClr w14:val="1A1A1A"/>
                  </w14:solidFill>
                </w14:textFill>
              </w:rPr>
              <w:t xml:space="preserve">%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per named competitor</w:t>
            </w:r>
          </w:p>
        </w:tc>
      </w:tr>
    </w:tbl>
    <w:p>
      <w:pPr>
        <w:pStyle w:val="Heading 2"/>
        <w:widowControl w:val="0"/>
      </w:pPr>
    </w:p>
    <w:p>
      <w:pPr>
        <w:pStyle w:val="Heading 2"/>
      </w:pPr>
      <w:r>
        <w:rPr>
          <w:outline w:val="0"/>
          <w:color w:val="666e72"/>
          <w:u w:color="666e72"/>
          <w:rtl w:val="0"/>
          <w:lang w:val="fr-FR"/>
          <w14:textFill>
            <w14:solidFill>
              <w14:srgbClr w14:val="666E72"/>
            </w14:solidFill>
          </w14:textFill>
        </w:rPr>
        <w:t>4.6 Report Export</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Monthly summary exportable as PDF</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Raw data exportable as CSV (for PCG to use in client reports)</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 xml:space="preserve">Shareable link to a live dashboard view </w:t>
      </w:r>
      <w:r>
        <w:rPr>
          <w:rFonts w:ascii="Arial" w:hAnsi="Arial" w:hint="default"/>
          <w:outline w:val="0"/>
          <w:color w:val="1a1a1a"/>
          <w:u w:color="1a1a1a"/>
          <w:rtl w:val="0"/>
          <w:lang w:val="en-US"/>
          <w14:textFill>
            <w14:solidFill>
              <w14:srgbClr w14:val="1A1A1A"/>
            </w14:solidFill>
          </w14:textFill>
        </w:rPr>
        <w:t xml:space="preserve">— </w:t>
      </w:r>
      <w:r>
        <w:rPr>
          <w:rFonts w:ascii="Arial" w:hAnsi="Arial"/>
          <w:outline w:val="0"/>
          <w:color w:val="1a1a1a"/>
          <w:u w:color="1a1a1a"/>
          <w:rtl w:val="0"/>
          <w:lang w:val="en-US"/>
          <w14:textFill>
            <w14:solidFill>
              <w14:srgbClr w14:val="1A1A1A"/>
            </w14:solidFill>
          </w14:textFill>
        </w:rPr>
        <w:t>no login required for the recipient</w:t>
      </w:r>
    </w:p>
    <w:p>
      <w:pPr>
        <w:pStyle w:val="List Paragraph"/>
        <w:numPr>
          <w:ilvl w:val="0"/>
          <w:numId w:val="4"/>
        </w:numPr>
        <w:spacing w:before="40" w:after="60"/>
        <w:rPr>
          <w:lang w:val="en-US"/>
        </w:rPr>
      </w:pPr>
      <w:r>
        <w:rPr>
          <w:rFonts w:ascii="Arial" w:hAnsi="Arial"/>
          <w:outline w:val="0"/>
          <w:color w:val="1a1a1a"/>
          <w:u w:color="1a1a1a"/>
          <w:rtl w:val="0"/>
          <w:lang w:val="en-US"/>
          <w14:textFill>
            <w14:solidFill>
              <w14:srgbClr w14:val="1A1A1A"/>
            </w14:solidFill>
          </w14:textFill>
        </w:rPr>
        <w:t>Report must be embeddable or annexable to PCG's standard monthly client report format</w:t>
      </w:r>
    </w:p>
    <w:p>
      <w:pPr>
        <w:pStyle w:val="List Paragraph"/>
        <w:spacing w:before="40" w:after="60"/>
      </w:pPr>
    </w:p>
    <w:p>
      <w:pPr>
        <w:pStyle w:val="Heading"/>
      </w:pPr>
      <w:r>
        <w:rPr>
          <w:outline w:val="0"/>
          <w:color w:val="1a1a1a"/>
          <w:u w:color="1a1a1a"/>
          <w:rtl w:val="0"/>
          <w:lang w:val="en-US"/>
          <w14:textFill>
            <w14:solidFill>
              <w14:srgbClr w14:val="1A1A1A"/>
            </w14:solidFill>
          </w14:textFill>
        </w:rPr>
        <w:t>5. Non-Functional Requirements</w:t>
      </w:r>
    </w:p>
    <w:tbl>
      <w:tblPr>
        <w:tblW w:w="902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426"/>
      </w:tblGrid>
      <w:tr>
        <w:tblPrEx>
          <w:shd w:val="clear" w:color="auto" w:fill="4f81bd"/>
        </w:tblPrEx>
        <w:trPr>
          <w:trHeight w:val="197" w:hRule="atLeast"/>
          <w:tblHeader/>
        </w:trPr>
        <w:tc>
          <w:tcPr>
            <w:tcW w:type="dxa" w:w="2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666e7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Requirement</w:t>
            </w:r>
          </w:p>
        </w:tc>
        <w:tc>
          <w:tcPr>
            <w:tcW w:type="dxa" w:w="642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666e7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Detail</w:t>
            </w:r>
          </w:p>
        </w:tc>
      </w:tr>
      <w:tr>
        <w:tblPrEx>
          <w:shd w:val="clear" w:color="auto" w:fill="ced7e7"/>
        </w:tblPrEx>
        <w:trPr>
          <w:trHeight w:val="435" w:hRule="atLeast"/>
        </w:trPr>
        <w:tc>
          <w:tcPr>
            <w:tcW w:type="dxa" w:w="2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1a"/>
                <w:sz w:val="18"/>
                <w:szCs w:val="18"/>
                <w:u w:color="1a1a1a"/>
                <w:shd w:val="nil" w:color="auto" w:fill="auto"/>
                <w:rtl w:val="0"/>
                <w:lang w:val="en-US"/>
                <w14:textFill>
                  <w14:solidFill>
                    <w14:srgbClr w14:val="1A1A1A"/>
                  </w14:solidFill>
                </w14:textFill>
              </w:rPr>
              <w:t>Data freshness</w:t>
            </w:r>
          </w:p>
        </w:tc>
        <w:tc>
          <w:tcPr>
            <w:tcW w:type="dxa" w:w="642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Monthly execution is sufficient. PCG does not need real-time monitoring in Phase 1.</w:t>
            </w:r>
          </w:p>
        </w:tc>
      </w:tr>
      <w:tr>
        <w:tblPrEx>
          <w:shd w:val="clear" w:color="auto" w:fill="ced7e7"/>
        </w:tblPrEx>
        <w:trPr>
          <w:trHeight w:val="435" w:hRule="atLeast"/>
        </w:trPr>
        <w:tc>
          <w:tcPr>
            <w:tcW w:type="dxa" w:w="2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1a"/>
                <w:sz w:val="18"/>
                <w:szCs w:val="18"/>
                <w:u w:color="1a1a1a"/>
                <w:shd w:val="nil" w:color="auto" w:fill="auto"/>
                <w:rtl w:val="0"/>
                <w:lang w:val="fr-FR"/>
                <w14:textFill>
                  <w14:solidFill>
                    <w14:srgbClr w14:val="1A1A1A"/>
                  </w14:solidFill>
                </w14:textFill>
              </w:rPr>
              <w:t>Multi-client</w:t>
            </w:r>
          </w:p>
        </w:tc>
        <w:tc>
          <w:tcPr>
            <w:tcW w:type="dxa" w:w="642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Must support at least 20 concurrent client accounts at launch. Architecture should scale to 100+.</w:t>
            </w:r>
          </w:p>
        </w:tc>
      </w:tr>
      <w:tr>
        <w:tblPrEx>
          <w:shd w:val="clear" w:color="auto" w:fill="ced7e7"/>
        </w:tblPrEx>
        <w:trPr>
          <w:trHeight w:val="435" w:hRule="atLeast"/>
        </w:trPr>
        <w:tc>
          <w:tcPr>
            <w:tcW w:type="dxa" w:w="2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1a"/>
                <w:sz w:val="18"/>
                <w:szCs w:val="18"/>
                <w:u w:color="1a1a1a"/>
                <w:shd w:val="nil" w:color="auto" w:fill="auto"/>
                <w:rtl w:val="0"/>
                <w:lang w:val="en-US"/>
                <w14:textFill>
                  <w14:solidFill>
                    <w14:srgbClr w14:val="1A1A1A"/>
                  </w14:solidFill>
                </w14:textFill>
              </w:rPr>
              <w:t>Prompt consistency</w:t>
            </w:r>
          </w:p>
        </w:tc>
        <w:tc>
          <w:tcPr>
            <w:tcW w:type="dxa" w:w="642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The exact same prompt text must be submitted each month. No paraphrasing or variation by the system.</w:t>
            </w:r>
          </w:p>
        </w:tc>
      </w:tr>
      <w:tr>
        <w:tblPrEx>
          <w:shd w:val="clear" w:color="auto" w:fill="ced7e7"/>
        </w:tblPrEx>
        <w:trPr>
          <w:trHeight w:val="435" w:hRule="atLeast"/>
        </w:trPr>
        <w:tc>
          <w:tcPr>
            <w:tcW w:type="dxa" w:w="2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1a"/>
                <w:sz w:val="18"/>
                <w:szCs w:val="18"/>
                <w:u w:color="1a1a1a"/>
                <w:shd w:val="nil" w:color="auto" w:fill="auto"/>
                <w:rtl w:val="0"/>
                <w:lang w:val="en-US"/>
                <w14:textFill>
                  <w14:solidFill>
                    <w14:srgbClr w14:val="1A1A1A"/>
                  </w14:solidFill>
                </w14:textFill>
              </w:rPr>
              <w:t>Response storage</w:t>
            </w:r>
          </w:p>
        </w:tc>
        <w:tc>
          <w:tcPr>
            <w:tcW w:type="dxa" w:w="642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Full response text must be stored for 12 months. PCG may need to reference past responses in disputes or audits.</w:t>
            </w:r>
          </w:p>
        </w:tc>
      </w:tr>
      <w:tr>
        <w:tblPrEx>
          <w:shd w:val="clear" w:color="auto" w:fill="ced7e7"/>
        </w:tblPrEx>
        <w:trPr>
          <w:trHeight w:val="435" w:hRule="atLeast"/>
        </w:trPr>
        <w:tc>
          <w:tcPr>
            <w:tcW w:type="dxa" w:w="2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1a"/>
                <w:sz w:val="18"/>
                <w:szCs w:val="18"/>
                <w:u w:color="1a1a1a"/>
                <w:shd w:val="nil" w:color="auto" w:fill="auto"/>
                <w:rtl w:val="0"/>
                <w:lang w:val="it-IT"/>
                <w14:textFill>
                  <w14:solidFill>
                    <w14:srgbClr w14:val="1A1A1A"/>
                  </w14:solidFill>
                </w14:textFill>
              </w:rPr>
              <w:t>Reproducibility</w:t>
            </w:r>
          </w:p>
        </w:tc>
        <w:tc>
          <w:tcPr>
            <w:tcW w:type="dxa" w:w="642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Where a prompt returns no citation, the system should re-run once before logging as null. AI responses vary; single-run data is noisy.</w:t>
            </w:r>
          </w:p>
        </w:tc>
      </w:tr>
      <w:tr>
        <w:tblPrEx>
          <w:shd w:val="clear" w:color="auto" w:fill="ced7e7"/>
        </w:tblPrEx>
        <w:trPr>
          <w:trHeight w:val="435" w:hRule="atLeast"/>
        </w:trPr>
        <w:tc>
          <w:tcPr>
            <w:tcW w:type="dxa" w:w="2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1a"/>
                <w:sz w:val="18"/>
                <w:szCs w:val="18"/>
                <w:u w:color="1a1a1a"/>
                <w:shd w:val="nil" w:color="auto" w:fill="auto"/>
                <w:rtl w:val="0"/>
                <w:lang w:val="en-US"/>
                <w14:textFill>
                  <w14:solidFill>
                    <w14:srgbClr w14:val="1A1A1A"/>
                  </w14:solidFill>
                </w14:textFill>
              </w:rPr>
              <w:t>Access control</w:t>
            </w:r>
          </w:p>
        </w:tc>
        <w:tc>
          <w:tcPr>
            <w:tcW w:type="dxa" w:w="642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7f7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PCG admin can see all clients. Account team members see only assigned clients. Client contacts get read-only report access.</w:t>
            </w:r>
          </w:p>
        </w:tc>
      </w:tr>
      <w:tr>
        <w:tblPrEx>
          <w:shd w:val="clear" w:color="auto" w:fill="ced7e7"/>
        </w:tblPrEx>
        <w:trPr>
          <w:trHeight w:val="435" w:hRule="atLeast"/>
        </w:trPr>
        <w:tc>
          <w:tcPr>
            <w:tcW w:type="dxa" w:w="2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1a"/>
                <w:sz w:val="18"/>
                <w:szCs w:val="18"/>
                <w:u w:color="1a1a1a"/>
                <w:shd w:val="nil" w:color="auto" w:fill="auto"/>
                <w:rtl w:val="0"/>
                <w:lang w:val="en-US"/>
                <w14:textFill>
                  <w14:solidFill>
                    <w14:srgbClr w14:val="1A1A1A"/>
                  </w14:solidFill>
                </w14:textFill>
              </w:rPr>
              <w:t>Data residency</w:t>
            </w:r>
          </w:p>
        </w:tc>
        <w:tc>
          <w:tcPr>
            <w:tcW w:type="dxa" w:w="6426"/>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Client article URLs and press coverage data are commercially sensitive. Confirm data residency and storage location.</w:t>
            </w:r>
          </w:p>
        </w:tc>
      </w:tr>
    </w:tbl>
    <w:p>
      <w:pPr>
        <w:pStyle w:val="Heading"/>
        <w:widowControl w:val="0"/>
      </w:pPr>
    </w:p>
    <w:p>
      <w:pPr>
        <w:pStyle w:val="Heading"/>
      </w:pPr>
      <w:r>
        <w:rPr>
          <w:outline w:val="0"/>
          <w:color w:val="1a1a1a"/>
          <w:u w:color="1a1a1a"/>
          <w:rtl w:val="0"/>
          <w:lang w:val="en-US"/>
          <w14:textFill>
            <w14:solidFill>
              <w14:srgbClr w14:val="1A1A1A"/>
            </w14:solidFill>
          </w14:textFill>
        </w:rPr>
        <w:t xml:space="preserve">6. Commercial Structure </w:t>
      </w:r>
      <w:r>
        <w:rPr>
          <w:outline w:val="0"/>
          <w:color w:val="1a1a1a"/>
          <w:u w:color="1a1a1a"/>
          <w:rtl w:val="0"/>
          <w:lang w:val="en-US"/>
          <w14:textFill>
            <w14:solidFill>
              <w14:srgbClr w14:val="1A1A1A"/>
            </w14:solidFill>
          </w14:textFill>
        </w:rPr>
        <w:t xml:space="preserve">— </w:t>
      </w:r>
      <w:r>
        <w:rPr>
          <w:outline w:val="0"/>
          <w:color w:val="1a1a1a"/>
          <w:u w:color="1a1a1a"/>
          <w:rtl w:val="0"/>
          <w:lang w:val="en-US"/>
          <w14:textFill>
            <w14:solidFill>
              <w14:srgbClr w14:val="1A1A1A"/>
            </w14:solidFill>
          </w14:textFill>
        </w:rPr>
        <w:t>Options for Discussion</w:t>
      </w:r>
    </w:p>
    <w:p>
      <w:pPr>
        <w:pStyle w:val="Heading"/>
        <w:rPr>
          <w:b w:val="0"/>
          <w:bCs w:val="0"/>
          <w:sz w:val="20"/>
          <w:szCs w:val="20"/>
        </w:rPr>
      </w:pPr>
      <w:r>
        <w:rPr>
          <w:b w:val="0"/>
          <w:bCs w:val="0"/>
          <w:sz w:val="20"/>
          <w:szCs w:val="20"/>
          <w:rtl w:val="0"/>
          <w:lang w:val="en-US"/>
        </w:rPr>
        <w:t xml:space="preserve">Currently, Otterly is selling this with reputation tracking at $30 per month. Signal AI also supposedly does this but pricing is not available. </w:t>
      </w:r>
    </w:p>
    <w:p>
      <w:pPr>
        <w:pStyle w:val="Heading"/>
        <w:rPr>
          <w:b w:val="0"/>
          <w:bCs w:val="0"/>
          <w:sz w:val="20"/>
          <w:szCs w:val="20"/>
        </w:rPr>
      </w:pPr>
      <w:r>
        <w:rPr>
          <w:b w:val="0"/>
          <w:bCs w:val="0"/>
          <w:sz w:val="20"/>
          <w:szCs w:val="20"/>
          <w:rtl w:val="0"/>
          <w:lang w:val="en-US"/>
        </w:rPr>
        <w:t>We can price this a $30 (as a deal) per month, per seat or per client.</w:t>
      </w:r>
    </w:p>
    <w:p>
      <w:pPr>
        <w:pStyle w:val="Heading"/>
        <w:widowControl w:val="0"/>
      </w:pPr>
      <w:r>
        <w:rPr>
          <w:outline w:val="0"/>
          <w:color w:val="666e72"/>
          <w:sz w:val="18"/>
          <w:szCs w:val="18"/>
          <w:u w:color="666e72"/>
          <w:rtl w:val="0"/>
          <w:lang w:val="en-US"/>
          <w14:textFill>
            <w14:solidFill>
              <w14:srgbClr w14:val="666E72"/>
            </w14:solidFill>
          </w14:textFill>
        </w:rPr>
        <w:t xml:space="preserve">Pepper Communications Group  </w:t>
      </w:r>
      <w:r>
        <w:rPr>
          <w:outline w:val="0"/>
          <w:color w:val="666e72"/>
          <w:sz w:val="18"/>
          <w:szCs w:val="18"/>
          <w:u w:color="666e72"/>
          <w:rtl w:val="0"/>
          <w14:textFill>
            <w14:solidFill>
              <w14:srgbClr w14:val="666E72"/>
            </w14:solidFill>
          </w14:textFill>
        </w:rPr>
        <w:t xml:space="preserve">·  </w:t>
      </w:r>
      <w:r>
        <w:rPr>
          <w:outline w:val="0"/>
          <w:color w:val="666e72"/>
          <w:sz w:val="18"/>
          <w:szCs w:val="18"/>
          <w:u w:color="666e72"/>
          <w:rtl w:val="0"/>
          <w:lang w:val="de-DE"/>
          <w14:textFill>
            <w14:solidFill>
              <w14:srgbClr w14:val="666E72"/>
            </w14:solidFill>
          </w14:textFill>
        </w:rPr>
        <w:t xml:space="preserve">Product Brief v1.0  </w:t>
      </w:r>
      <w:r>
        <w:rPr>
          <w:outline w:val="0"/>
          <w:color w:val="666e72"/>
          <w:sz w:val="18"/>
          <w:szCs w:val="18"/>
          <w:u w:color="666e72"/>
          <w:rtl w:val="0"/>
          <w14:textFill>
            <w14:solidFill>
              <w14:srgbClr w14:val="666E72"/>
            </w14:solidFill>
          </w14:textFill>
        </w:rPr>
        <w:t xml:space="preserve">·  </w:t>
      </w:r>
      <w:r>
        <w:rPr>
          <w:outline w:val="0"/>
          <w:color w:val="666e72"/>
          <w:sz w:val="18"/>
          <w:szCs w:val="18"/>
          <w:u w:color="666e72"/>
          <w:rtl w:val="0"/>
          <w:lang w:val="en-US"/>
          <w14:textFill>
            <w14:solidFill>
              <w14:srgbClr w14:val="666E72"/>
            </w14:solidFill>
          </w14:textFill>
        </w:rPr>
        <w:t xml:space="preserve">June 2026  </w:t>
      </w:r>
      <w:r>
        <w:rPr>
          <w:outline w:val="0"/>
          <w:color w:val="666e72"/>
          <w:sz w:val="18"/>
          <w:szCs w:val="18"/>
          <w:u w:color="666e72"/>
          <w:rtl w:val="0"/>
          <w14:textFill>
            <w14:solidFill>
              <w14:srgbClr w14:val="666E72"/>
            </w14:solidFill>
          </w14:textFill>
        </w:rPr>
        <w:t xml:space="preserve">·  </w:t>
      </w:r>
      <w:r>
        <w:rPr>
          <w:outline w:val="0"/>
          <w:color w:val="666e72"/>
          <w:sz w:val="18"/>
          <w:szCs w:val="18"/>
          <w:u w:color="666e72"/>
          <w:rtl w:val="0"/>
          <w:lang w:val="en-US"/>
          <w14:textFill>
            <w14:solidFill>
              <w14:srgbClr w14:val="666E72"/>
            </w14:solidFill>
          </w14:textFill>
        </w:rPr>
        <w:t>Confidential</w:t>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666e72"/>
        <w:sz w:val="16"/>
        <w:szCs w:val="16"/>
        <w:u w:color="666e72"/>
        <w:rtl w:val="0"/>
        <w:lang w:val="en-US"/>
        <w14:textFill>
          <w14:solidFill>
            <w14:srgbClr w14:val="666E72"/>
          </w14:solidFill>
        </w14:textFill>
      </w:rPr>
      <w:t xml:space="preserve">Confidential </w:t>
    </w:r>
    <w:r>
      <w:rPr>
        <w:rFonts w:ascii="Arial" w:hAnsi="Arial" w:hint="default"/>
        <w:outline w:val="0"/>
        <w:color w:val="666e72"/>
        <w:sz w:val="16"/>
        <w:szCs w:val="16"/>
        <w:u w:color="666e72"/>
        <w:rtl w:val="0"/>
        <w:lang w:val="en-US"/>
        <w14:textFill>
          <w14:solidFill>
            <w14:srgbClr w14:val="666E72"/>
          </w14:solidFill>
        </w14:textFill>
      </w:rPr>
      <w:t xml:space="preserve">— </w:t>
    </w:r>
    <w:r>
      <w:rPr>
        <w:rFonts w:ascii="Arial" w:hAnsi="Arial"/>
        <w:outline w:val="0"/>
        <w:color w:val="666e72"/>
        <w:sz w:val="16"/>
        <w:szCs w:val="16"/>
        <w:u w:color="666e72"/>
        <w:rtl w:val="0"/>
        <w:lang w:val="da-DK"/>
        <w14:textFill>
          <w14:solidFill>
            <w14:srgbClr w14:val="666E72"/>
          </w14:solidFill>
        </w14:textFill>
      </w:rPr>
      <w:t>Not for external distribution</w:t>
      <w:tab/>
      <w:t xml:space="preserve">Page </w:t>
    </w:r>
    <w:r>
      <w:rPr>
        <w:rFonts w:ascii="Arial" w:cs="Arial" w:hAnsi="Arial" w:eastAsia="Arial"/>
        <w:outline w:val="0"/>
        <w:color w:val="666e72"/>
        <w:sz w:val="16"/>
        <w:szCs w:val="16"/>
        <w:u w:color="666e72"/>
        <w14:textFill>
          <w14:solidFill>
            <w14:srgbClr w14:val="666E72"/>
          </w14:solidFill>
        </w14:textFill>
      </w:rPr>
      <w:fldChar w:fldCharType="begin" w:fldLock="0"/>
    </w:r>
    <w:r>
      <w:rPr>
        <w:rFonts w:ascii="Arial" w:cs="Arial" w:hAnsi="Arial" w:eastAsia="Arial"/>
        <w:outline w:val="0"/>
        <w:color w:val="666e72"/>
        <w:sz w:val="16"/>
        <w:szCs w:val="16"/>
        <w:u w:color="666e72"/>
        <w14:textFill>
          <w14:solidFill>
            <w14:srgbClr w14:val="666E72"/>
          </w14:solidFill>
        </w14:textFill>
      </w:rPr>
      <w:instrText xml:space="preserve"> PAGE </w:instrText>
    </w:r>
    <w:r>
      <w:rPr>
        <w:rFonts w:ascii="Arial" w:cs="Arial" w:hAnsi="Arial" w:eastAsia="Arial"/>
        <w:outline w:val="0"/>
        <w:color w:val="666e72"/>
        <w:sz w:val="16"/>
        <w:szCs w:val="16"/>
        <w:u w:color="666e72"/>
        <w14:textFill>
          <w14:solidFill>
            <w14:srgbClr w14:val="666E72"/>
          </w14:solidFill>
        </w14:textFill>
      </w:rPr>
      <w:fldChar w:fldCharType="separate" w:fldLock="0"/>
    </w:r>
    <w:r>
      <w:rPr>
        <w:rFonts w:ascii="Arial" w:cs="Arial" w:hAnsi="Arial" w:eastAsia="Arial"/>
        <w:outline w:val="0"/>
        <w:color w:val="666e72"/>
        <w:sz w:val="16"/>
        <w:szCs w:val="16"/>
        <w:u w:color="666e72"/>
        <w14:textFill>
          <w14:solidFill>
            <w14:srgbClr w14:val="666E72"/>
          </w14:solidFill>
        </w14:textFill>
      </w:rPr>
    </w:r>
    <w:r>
      <w:rPr>
        <w:rFonts w:ascii="Arial" w:cs="Arial" w:hAnsi="Arial" w:eastAsia="Arial"/>
        <w:outline w:val="0"/>
        <w:color w:val="666e72"/>
        <w:sz w:val="16"/>
        <w:szCs w:val="16"/>
        <w:u w:color="666e72"/>
        <w14:textFill>
          <w14:solidFill>
            <w14:srgbClr w14:val="666E72"/>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666e72"/>
        <w:sz w:val="16"/>
        <w:szCs w:val="16"/>
        <w:u w:color="666e72"/>
        <w:rtl w:val="0"/>
        <w:lang w:val="es-ES_tradnl"/>
        <w14:textFill>
          <w14:solidFill>
            <w14:srgbClr w14:val="666E72"/>
          </w14:solidFill>
        </w14:textFill>
      </w:rPr>
      <w:t>PEPPER COMMUNICATIONS GROUP</w:t>
    </w:r>
    <w:r>
      <w:rPr>
        <w:rFonts w:ascii="Arial" w:hAnsi="Arial"/>
        <w:outline w:val="0"/>
        <w:color w:val="666e72"/>
        <w:sz w:val="16"/>
        <w:szCs w:val="16"/>
        <w:u w:color="666e72"/>
        <w:rtl w:val="0"/>
        <w:lang w:val="de-DE"/>
        <w14:textFill>
          <w14:solidFill>
            <w14:srgbClr w14:val="666E72"/>
          </w14:solidFill>
        </w14:textFill>
      </w:rPr>
      <w:t xml:space="preserve">  |  Product Brief </w:t>
    </w:r>
    <w:r>
      <w:rPr>
        <w:rFonts w:ascii="Arial" w:hAnsi="Arial" w:hint="default"/>
        <w:outline w:val="0"/>
        <w:color w:val="666e72"/>
        <w:sz w:val="16"/>
        <w:szCs w:val="16"/>
        <w:u w:color="666e72"/>
        <w:rtl w:val="0"/>
        <w:lang w:val="en-US"/>
        <w14:textFill>
          <w14:solidFill>
            <w14:srgbClr w14:val="666E72"/>
          </w14:solidFill>
        </w14:textFill>
      </w:rPr>
      <w:t xml:space="preserve">— </w:t>
    </w:r>
    <w:r>
      <w:rPr>
        <w:rFonts w:ascii="Arial" w:hAnsi="Arial"/>
        <w:outline w:val="0"/>
        <w:color w:val="666e72"/>
        <w:sz w:val="16"/>
        <w:szCs w:val="16"/>
        <w:u w:color="666e72"/>
        <w:rtl w:val="0"/>
        <w:lang w:val="en-US"/>
        <w14:textFill>
          <w14:solidFill>
            <w14:srgbClr w14:val="666E72"/>
          </w14:solidFill>
        </w14:textFill>
      </w:rPr>
      <w:t>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s-ES_tradnl"/>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00" w:after="1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a1a1a"/>
      <w:spacing w:val="0"/>
      <w:kern w:val="0"/>
      <w:position w:val="0"/>
      <w:sz w:val="28"/>
      <w:szCs w:val="28"/>
      <w:u w:val="none" w:color="1a1a1a"/>
      <w:shd w:val="nil" w:color="auto" w:fill="auto"/>
      <w:vertAlign w:val="baseline"/>
      <w:lang w:val="en-US"/>
      <w14:textOutline>
        <w14:noFill/>
      </w14:textOutline>
      <w14:textFill>
        <w14:solidFill>
          <w14:srgbClr w14:val="1A1A1A"/>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6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666e72"/>
      <w:spacing w:val="0"/>
      <w:kern w:val="0"/>
      <w:position w:val="0"/>
      <w:sz w:val="22"/>
      <w:szCs w:val="22"/>
      <w:u w:val="none" w:color="666e72"/>
      <w:shd w:val="nil" w:color="auto" w:fill="auto"/>
      <w:vertAlign w:val="baseline"/>
      <w:lang w:val="en-US"/>
      <w14:textOutline>
        <w14:noFill/>
      </w14:textOutline>
      <w14:textFill>
        <w14:solidFill>
          <w14:srgbClr w14:val="666E72"/>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Bullets">
    <w:name w:val="Bullets"/>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