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0" w:line="272"/>
        <w:jc w:val="center"/>
      </w:pPr>
      <w:r>
        <w:rPr>
          <w:i/>
          <w:iCs/>
          <w:color w:val="999999"/>
          <w:sz w:val="13"/>
          <w:szCs w:val="13"/>
        </w:rPr>
      </w:r>
    </w:p>
    <w:p>
      <w:pPr>
        <w:pStyle w:val="Heading1"/>
        <w:jc w:val="center"/>
      </w:pPr>
      <w:r>
        <w:rPr>
          <w:b/>
          <w:color w:val="E11D8F"/>
        </w:rPr>
        <w:t xml:space="preserve">Jak złożyć wniosek o dofinansowanie szkolenia</w:t>
      </w:r>
    </w:p>
    <w:p>
      <w:pPr>
        <w:spacing w:after="90" w:before="0" w:line="272"/>
        <w:jc w:val="center"/>
      </w:pPr>
      <w:r>
        <w:rPr>
          <w:sz w:val="22"/>
          <w:szCs w:val="22"/>
        </w:rPr>
        <w:t xml:space="preserve">Nabór 2/2026 — projekt WEKTOR (Operator: ARP S.A.). Szkolenie: „AI, PR i kompetencje cyfrowe w sprzedaży i marketingu”.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8C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58"/>
            </w:pPr>
            <w:r>
              <w:rPr>
                <w:sz w:val="19"/>
                <w:szCs w:val="19"/>
              </w:rPr>
              <w:t xml:space="preserve">Najważniejsze: wniosek (Formularz zgłoszeniowy) składasz wyłącznie 29 maja 2026 r., w oknie 9:00–18:00, w systemie Operatora pod adresem wektor.arp.gda.pl. To inny system niż Baza Usług Rozwojowych (BUR): w BUR zakładasz konto i wybierasz usługę, a na wektor.arp.gda.pl składasz i podpisujesz wniosek. Jeden formularz = jedna usługa. Formularz podpisujesz profilem zaufanym lub podpisem kwalifikowanym (tak, aby widoczny był Twój PESEL). Wzór formularza to Załącznik nr 1 do regulaminu.</w:t>
            </w:r>
          </w:p>
        </w:tc>
      </w:tr>
    </w:tbl>
    <w:p>
      <w:pPr>
        <w:spacing w:after="40" w:before="0" w:line="272"/>
      </w:pPr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color w:val="0FB5A0"/>
        </w:rPr>
        <w:t xml:space="preserve">Zanim ruszy nabór — przygotuj się</w:t>
      </w:r>
    </w:p>
    <w:p>
      <w:pPr>
        <w:spacing w:after="55" w:line="262"/>
        <w:ind w:left="340" w:hanging="300"/>
      </w:pPr>
      <w:r>
        <w:rPr>
          <w:b/>
          <w:bCs/>
          <w:color w:val="1F3864"/>
          <w:sz w:val="20"/>
          <w:szCs w:val="20"/>
        </w:rPr>
        <w:t xml:space="preserve">1. </w:t>
      </w:r>
      <w:r>
        <w:rPr>
          <w:sz w:val="20"/>
          <w:szCs w:val="20"/>
        </w:rPr>
        <w:t xml:space="preserve">Sprawdź, czy się kwalifikujesz: masz ukończone 18 lat oraz mieszkasz, pracujesz lub uczysz się w subregionie metropolitalnym (Gdańsk, Gdynia, Sopot, powiaty: gdański, kartuski, nowodworski, pucki, wejherowski).</w:t>
      </w:r>
    </w:p>
    <w:p>
      <w:pPr>
        <w:spacing w:after="55" w:line="262"/>
        <w:ind w:left="340" w:hanging="300"/>
      </w:pPr>
      <w:r>
        <w:rPr>
          <w:b/>
          <w:bCs/>
          <w:color w:val="1F3864"/>
          <w:sz w:val="20"/>
          <w:szCs w:val="20"/>
        </w:rPr>
        <w:t xml:space="preserve">2. </w:t>
      </w:r>
      <w:r>
        <w:rPr>
          <w:sz w:val="20"/>
          <w:szCs w:val="20"/>
        </w:rPr>
        <w:t xml:space="preserve">Przygotuj jeden dokument potwierdzający to kryterium (np. faktura za media z ostatnich 2 m-cy lub informacja o zameldowaniu — zamieszkanie; zaświadczenie od pracodawcy — praca; legitymacja/zaświadczenie z uczelni — nauka). UWAGA: dołączenie tego dokumentu jest obowiązkowe — jego brak skutkuje odrzuceniem formularza.</w:t>
      </w:r>
    </w:p>
    <w:p>
      <w:pPr>
        <w:spacing w:after="55" w:line="262"/>
        <w:ind w:left="340" w:hanging="300"/>
      </w:pPr>
      <w:r>
        <w:rPr>
          <w:b/>
          <w:bCs/>
          <w:color w:val="1F3864"/>
          <w:sz w:val="20"/>
          <w:szCs w:val="20"/>
        </w:rPr>
        <w:t xml:space="preserve">3. </w:t>
      </w:r>
      <w:r>
        <w:rPr>
          <w:sz w:val="20"/>
          <w:szCs w:val="20"/>
        </w:rPr>
        <w:t xml:space="preserve">Załóż konto w Bazie Usług Rozwojowych (uslugirozwojowe.parp.gov.pl — to osobny system), znajdź naszą usługę i zapisz jej numer oraz Kartę Usługi.</w:t>
      </w:r>
    </w:p>
    <w:p>
      <w:pPr>
        <w:spacing w:after="55" w:line="262"/>
        <w:ind w:left="340" w:hanging="300"/>
      </w:pPr>
      <w:r>
        <w:rPr>
          <w:b/>
          <w:bCs/>
          <w:color w:val="1F3864"/>
          <w:sz w:val="20"/>
          <w:szCs w:val="20"/>
        </w:rPr>
        <w:t xml:space="preserve">4. </w:t>
      </w:r>
      <w:r>
        <w:rPr>
          <w:sz w:val="20"/>
          <w:szCs w:val="20"/>
        </w:rPr>
        <w:t xml:space="preserve">Przygotuj profil zaufany lub podpis kwalifikowany.</w:t>
      </w:r>
    </w:p>
    <w:p>
      <w:pPr>
        <w:spacing w:after="55" w:line="262"/>
        <w:ind w:left="340" w:hanging="300"/>
      </w:pPr>
      <w:r>
        <w:rPr>
          <w:b/>
          <w:bCs/>
          <w:color w:val="1F3864"/>
          <w:sz w:val="20"/>
          <w:szCs w:val="20"/>
        </w:rPr>
        <w:t xml:space="preserve">5. </w:t>
      </w:r>
      <w:r>
        <w:rPr>
          <w:sz w:val="20"/>
          <w:szCs w:val="20"/>
        </w:rPr>
        <w:t xml:space="preserve">Jeśli prowadzisz działalność gospodarczą — przygotuj: oświadczenie i formularz informacji de minimis oraz oświadczenie i ankietę VAT. Jeśli masz preferencje punktowane (np. orzeczenie o niepełnosprawności, zaświadczenie z urzędu pracy) — przygotuj te dokumenty.</w:t>
      </w:r>
    </w:p>
    <w:p>
      <w:pPr>
        <w:pStyle w:val="Heading2"/>
      </w:pPr>
      <w:r>
        <w:rPr>
          <w:b/>
          <w:color w:val="0FB5A0"/>
        </w:rPr>
        <w:t xml:space="preserve">W dniu naboru — 29 maja 2026 r.</w:t>
      </w:r>
    </w:p>
    <w:p>
      <w:pPr>
        <w:spacing w:after="55" w:line="262"/>
        <w:ind w:left="340" w:hanging="300"/>
      </w:pPr>
      <w:r>
        <w:rPr>
          <w:b/>
          <w:bCs/>
          <w:color w:val="1F3864"/>
          <w:sz w:val="20"/>
          <w:szCs w:val="20"/>
        </w:rPr>
        <w:t xml:space="preserve">6. </w:t>
      </w:r>
      <w:r>
        <w:rPr>
          <w:sz w:val="20"/>
          <w:szCs w:val="20"/>
        </w:rPr>
        <w:t xml:space="preserve">Wejdź na wektor.arp.gda.pl, zaloguj się i wypełnij Formularz zgłoszeniowy (wariant z wybraną usługą): Część A — dane i kryterium z dokumentem; Część B — status, wykształcenie, preferencje; Część C — wybrana usługa (numer i nazwa z BUR, Dostawca, wartość, wnioskowane dofinansowanie 95%).</w:t>
      </w:r>
    </w:p>
    <w:p>
      <w:pPr>
        <w:spacing w:after="55" w:line="262"/>
        <w:ind w:left="340" w:hanging="300"/>
      </w:pPr>
      <w:r>
        <w:rPr>
          <w:b/>
          <w:bCs/>
          <w:color w:val="1F3864"/>
          <w:sz w:val="20"/>
          <w:szCs w:val="20"/>
        </w:rPr>
        <w:t xml:space="preserve">7. </w:t>
      </w:r>
      <w:r>
        <w:rPr>
          <w:sz w:val="20"/>
          <w:szCs w:val="20"/>
        </w:rPr>
        <w:t xml:space="preserve">Podpisz formularz profilem zaufanym lub kwalifikowanym i wyślij. Załączniki dołącz jako skany.</w:t>
      </w:r>
    </w:p>
    <w:p>
      <w:pPr>
        <w:pStyle w:val="Heading2"/>
      </w:pPr>
      <w:r>
        <w:rPr>
          <w:b/>
          <w:color w:val="0FB5A0"/>
        </w:rPr>
        <w:t xml:space="preserve">Po naborze</w:t>
      </w:r>
    </w:p>
    <w:p>
      <w:pPr>
        <w:spacing w:after="55" w:line="262"/>
        <w:ind w:left="340" w:hanging="300"/>
      </w:pPr>
      <w:r>
        <w:rPr>
          <w:b/>
          <w:bCs/>
          <w:color w:val="1F3864"/>
          <w:sz w:val="20"/>
          <w:szCs w:val="20"/>
        </w:rPr>
        <w:t xml:space="preserve">8. </w:t>
      </w:r>
      <w:r>
        <w:rPr>
          <w:sz w:val="20"/>
          <w:szCs w:val="20"/>
        </w:rPr>
        <w:t xml:space="preserve">Operator ocenia zgłoszenia: Część A (formalna) → Część B (punkty) → Część C (kwalifikowalność usługi, w tym cena pod III kwartylem). Gdy suma wnioskowanych kwot przekroczy alokację, do wsparcia trafiają najpierw zgłoszenia z najwyższą liczbą punktów, a kolejność złożenia decyduje dopiero jako kryterium rozstrzygające. Dlatego złóż wniosek wcześnie i z kompletem dokumentów punktujących.</w:t>
      </w:r>
    </w:p>
    <w:p>
      <w:pPr>
        <w:spacing w:after="55" w:line="262"/>
        <w:ind w:left="340" w:hanging="300"/>
      </w:pPr>
      <w:r>
        <w:rPr>
          <w:b/>
          <w:bCs/>
          <w:color w:val="1F3864"/>
          <w:sz w:val="20"/>
          <w:szCs w:val="20"/>
        </w:rPr>
        <w:t xml:space="preserve">9. </w:t>
      </w:r>
      <w:r>
        <w:rPr>
          <w:sz w:val="20"/>
          <w:szCs w:val="20"/>
        </w:rPr>
        <w:t xml:space="preserve">Po zakwalifikowaniu: u doradcy WUP wykonujesz test kompetencji cyfrowych (wymagany dla szkoleń z kompetencji cyfrowych) — najpóźniej w dniu odbioru umowy.</w:t>
      </w:r>
    </w:p>
    <w:p>
      <w:pPr>
        <w:spacing w:after="90" w:line="262"/>
        <w:ind w:left="340" w:hanging="300"/>
      </w:pPr>
      <w:r>
        <w:rPr>
          <w:b/>
          <w:bCs/>
          <w:color w:val="1F3864"/>
          <w:sz w:val="20"/>
          <w:szCs w:val="20"/>
        </w:rPr>
        <w:t xml:space="preserve">10. </w:t>
      </w:r>
      <w:r>
        <w:rPr>
          <w:sz w:val="20"/>
          <w:szCs w:val="20"/>
        </w:rPr>
        <w:t xml:space="preserve">Podpisujesz trójstronną umowę (Ty + Dostawca + Operator) najpóźniej 5 dni roboczych przed startem, wpłacasz wkład własny 5%, otrzymujesz ID wsparcia i zapisujesz się na usługę w BUR. Po szkoleniu i pozytywnej walidacji odbierasz zaświadczenie; rozliczenie składasz w ciągu 2 tygodni.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0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58"/>
            </w:pPr>
            <w:r>
              <w:rPr>
                <w:sz w:val="19"/>
                <w:szCs w:val="19"/>
              </w:rPr>
              <w:t xml:space="preserve">Kwoty dla tego szkolenia: wartość 7 680 zł, dofinansowanie 95% = 7 296 zł, Twój wkład własny 5% = 384 zł. Dofinansowanie pokrywa do 95% (maks. 9 500 zł na osobę w projekcie). Szkolenie trwa 32 godziny (4 dni po 8 godzin) i musi rozpocząć się od 2 do 6 miesięcy od dnia naboru.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8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C9C9" w:sz="4" w:space="4"/>
        <w:top w:val="single" w:sz="8" w:space="6" w:color="E11D8F"/>
      </w:pBdr>
      <w:spacing w:after="0"/>
      <w:jc w:val="center"/>
    </w:pPr>
    <w:r>
      <w:rPr>
        <w:color w:val="888888"/>
        <w:sz w:val="12"/>
        <w:szCs w:val="12"/>
      </w:rPr>
    </w:r>
    <w:r>
      <w:drawing>
        <wp:inline xmlns:a="http://schemas.openxmlformats.org/drawingml/2006/main" xmlns:pic="http://schemas.openxmlformats.org/drawingml/2006/picture">
          <wp:extent cx="218934" cy="20116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rp_podstawowy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8934" cy="201168"/>
                  </a:xfrm>
                  <a:prstGeom prst="rect"/>
                </pic:spPr>
              </pic:pic>
            </a:graphicData>
          </a:graphic>
        </wp:inline>
      </w:drawing>
    </w:r>
    <w:r>
      <w:t xml:space="preserve">    </w:t>
    </w:r>
    <w:r>
      <w:drawing>
        <wp:inline xmlns:a="http://schemas.openxmlformats.org/drawingml/2006/main" xmlns:pic="http://schemas.openxmlformats.org/drawingml/2006/picture">
          <wp:extent cx="363789" cy="201168"/>
          <wp:docPr id="2" name="Picture 2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arp-removebg-preview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63789" cy="201168"/>
                  </a:xfrm>
                  <a:prstGeom prst="rect"/>
                </pic:spPr>
              </pic:pic>
            </a:graphicData>
          </a:graphic>
        </wp:inline>
      </w:drawing>
    </w:r>
    <w:r>
      <w:t xml:space="preserve">    </w:t>
    </w:r>
    <w:r>
      <w:drawing>
        <wp:inline xmlns:a="http://schemas.openxmlformats.org/drawingml/2006/main" xmlns:pic="http://schemas.openxmlformats.org/drawingml/2006/picture">
          <wp:extent cx="301752" cy="201168"/>
          <wp:docPr id="3" name="Picture 3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tZVvoGe5H-removebg-preview.png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301752" cy="201168"/>
                  </a:xfrm>
                  <a:prstGeom prst="rect"/>
                </pic:spPr>
              </pic:pic>
            </a:graphicData>
          </a:graphic>
        </wp:inline>
      </w:drawing>
    </w:r>
    <w:r>
      <w:t xml:space="preserve">    </w:t>
    </w:r>
    <w:r>
      <w:drawing>
        <wp:inline xmlns:a="http://schemas.openxmlformats.org/drawingml/2006/main" xmlns:pic="http://schemas.openxmlformats.org/drawingml/2006/picture">
          <wp:extent cx="451697" cy="201168"/>
          <wp:docPr id="4" name="Picture 4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c.png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451697" cy="201168"/>
                  </a:xfrm>
                  <a:prstGeom prst="rect"/>
                </pic:spPr>
              </pic:pic>
            </a:graphicData>
          </a:graphic>
        </wp:inline>
      </w:drawing>
    </w:r>
    <w:r>
      <w:t xml:space="preserve">    </w:t>
    </w:r>
    <w:r>
      <w:drawing>
        <wp:inline xmlns:a="http://schemas.openxmlformats.org/drawingml/2006/main" xmlns:pic="http://schemas.openxmlformats.org/drawingml/2006/picture">
          <wp:extent cx="220568" cy="201168"/>
          <wp:docPr id="5" name="Picture 5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62b40f4e83ddb4314fbf5591_893px-ISO_9001-2015.svg-removebg-preview.png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220568" cy="201168"/>
                  </a:xfrm>
                  <a:prstGeom prst="rect"/>
                </pic:spPr>
              </pic:pic>
            </a:graphicData>
          </a:graphic>
        </wp:inline>
      </w:drawing>
    </w:r>
    <w:r>
      <w:t xml:space="preserve">    </w:t>
    </w:r>
  </w:p>
  <w:p>
    <w:pPr>
      <w:spacing w:before="40"/>
      <w:jc w:val="center"/>
    </w:pPr>
    <w:r>
      <w:rPr>
        <w:color w:val="888888"/>
        <w:sz w:val="13"/>
        <w:szCs w:val="13"/>
      </w:rPr>
      <w:t xml:space="preserve">Strona </w:t>
    </w:r>
    <w:r>
      <w:rPr>
        <w:color w:val="888888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3"/>
        <w:szCs w:val="13"/>
      </w:rPr>
      <w:t xml:space="preserve"> z </w:t>
    </w:r>
    <w:r>
      <w:rPr>
        <w:color w:val="888888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  <w:p>
    <w:pPr>
      <w:jc w:val="center"/>
    </w:pPr>
    <w:r>
      <w:rPr>
        <w:color w:val="707078"/>
        <w:sz w:val="14"/>
      </w:rPr>
      <w:t>Szkolenie współfinansowane ze środków Unii Europejskiej w ramach projektu WEKTOR (Fundusze Europejskie dla Pomorza 2021–2027, Działanie 5.9). Operator: Agencja Rozwoju Pomorza S.A. · Partner: WUP w Gdańsku. Dofinansowanie do 95% zależnie od kwalifikacji i puli środków. Kontakt: intel@mrtiq.pl · +48 502 417 719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  <w:bottom w:val="single" w:sz="12" w:space="6" w:color="0FB5A0"/>
      </w:pBdr>
    </w:pPr>
    <w:r>
      <w:rPr>
        <w:color w:val="777777"/>
        <w:sz w:val="14"/>
        <w:szCs w:val="14"/>
      </w:rPr>
    </w:r>
    <w:r>
      <w:drawing>
        <wp:inline xmlns:a="http://schemas.openxmlformats.org/drawingml/2006/main" xmlns:pic="http://schemas.openxmlformats.org/drawingml/2006/picture">
          <wp:extent cx="712519" cy="2743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_doc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2519" cy="27432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80"/>
      <w:outlineLvl w:val="0"/>
    </w:pPr>
    <w:rPr>
      <w:rFonts w:ascii="Arial" w:cs="Arial" w:eastAsia="Arial" w:hAnsi="Arial"/>
      <w:b/>
      <w:bCs/>
      <w:color w:val="1F3864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70" w:before="16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4.png"/><Relationship Id="rId4" Type="http://schemas.openxmlformats.org/officeDocument/2006/relationships/image" Target="media/image5.png"/><Relationship Id="rId5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2026-05-26T18:03:11.738Z</dcterms:created>
  <dcterms:modified xsi:type="dcterms:W3CDTF">2026-05-26T18:03:11.750Z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