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soc-alert-catalog.md"/>
    <w:p>
      <w:pPr>
        <w:pStyle w:val="Heading1"/>
      </w:pPr>
      <w:r>
        <w:t xml:space="preserve">SOC-ALERT-CATALOG.md</w:t>
      </w:r>
    </w:p>
    <w:bookmarkStart w:id="20" w:name="alert-001"/>
    <w:p>
      <w:pPr>
        <w:pStyle w:val="Heading2"/>
      </w:pPr>
      <w:r>
        <w:t xml:space="preserve">Alert 001</w:t>
      </w:r>
    </w:p>
    <w:p>
      <w:pPr>
        <w:pStyle w:val="FirstParagraph"/>
      </w:pPr>
      <w:r>
        <w:t xml:space="preserve">Name:</w:t>
      </w:r>
      <w:r>
        <w:t xml:space="preserve"> </w:t>
      </w:r>
      <w:r>
        <w:t xml:space="preserve">LLMNR Traffic</w:t>
      </w:r>
    </w:p>
    <w:p>
      <w:pPr>
        <w:pStyle w:val="BodyText"/>
      </w:pPr>
      <w:r>
        <w:t xml:space="preserve">Indicators:</w:t>
      </w:r>
    </w:p>
    <w:p>
      <w:pPr>
        <w:pStyle w:val="Compact"/>
        <w:numPr>
          <w:ilvl w:val="0"/>
          <w:numId w:val="1001"/>
        </w:numPr>
      </w:pPr>
      <w:r>
        <w:t xml:space="preserve">Destination IP 224.0.0.252</w:t>
      </w:r>
    </w:p>
    <w:p>
      <w:pPr>
        <w:pStyle w:val="Compact"/>
        <w:numPr>
          <w:ilvl w:val="0"/>
          <w:numId w:val="1001"/>
        </w:numPr>
      </w:pPr>
      <w:r>
        <w:t xml:space="preserve">UDP 5355</w:t>
      </w:r>
    </w:p>
    <w:p>
      <w:pPr>
        <w:pStyle w:val="FirstParagraph"/>
      </w:pPr>
      <w:r>
        <w:t xml:space="preserve">Disposition:</w:t>
      </w:r>
      <w:r>
        <w:t xml:space="preserve"> </w:t>
      </w:r>
      <w:r>
        <w:t xml:space="preserve">Benign</w:t>
      </w:r>
    </w:p>
    <w:p>
      <w:pPr>
        <w:pStyle w:val="BodyText"/>
      </w:pPr>
      <w:r>
        <w:t xml:space="preserve">Priority:</w:t>
      </w:r>
      <w:r>
        <w:t xml:space="preserve"> </w:t>
      </w:r>
      <w:r>
        <w:t xml:space="preserve">Informational</w:t>
      </w:r>
    </w:p>
    <w:p>
      <w:pPr>
        <w:pStyle w:val="BodyText"/>
      </w:pPr>
      <w:r>
        <w:t xml:space="preserve">Notes:</w:t>
      </w:r>
      <w:r>
        <w:t xml:space="preserve"> </w:t>
      </w:r>
      <w:r>
        <w:t xml:space="preserve">Expected Windows multicast name resolution.</w:t>
      </w:r>
    </w:p>
    <w:p>
      <w:r>
        <w:pict>
          <v:rect style="width:0;height:1.5pt" o:hralign="center" o:hrstd="t" o:hr="t"/>
        </w:pict>
      </w:r>
    </w:p>
    <w:bookmarkEnd w:id="20"/>
    <w:bookmarkStart w:id="21" w:name="alert-002"/>
    <w:p>
      <w:pPr>
        <w:pStyle w:val="Heading2"/>
      </w:pPr>
      <w:r>
        <w:t xml:space="preserve">Alert 002</w:t>
      </w:r>
    </w:p>
    <w:p>
      <w:pPr>
        <w:pStyle w:val="FirstParagraph"/>
      </w:pPr>
      <w:r>
        <w:t xml:space="preserve">Name:</w:t>
      </w:r>
      <w:r>
        <w:t xml:space="preserve"> </w:t>
      </w:r>
      <w:r>
        <w:t xml:space="preserve">NetBIOS Name Resolution</w:t>
      </w:r>
    </w:p>
    <w:p>
      <w:pPr>
        <w:pStyle w:val="BodyText"/>
      </w:pPr>
      <w:r>
        <w:t xml:space="preserve">Indicators:</w:t>
      </w:r>
    </w:p>
    <w:p>
      <w:pPr>
        <w:pStyle w:val="Compact"/>
        <w:numPr>
          <w:ilvl w:val="0"/>
          <w:numId w:val="1002"/>
        </w:numPr>
      </w:pPr>
      <w:r>
        <w:t xml:space="preserve">UDP 137</w:t>
      </w:r>
    </w:p>
    <w:p>
      <w:pPr>
        <w:pStyle w:val="Compact"/>
        <w:numPr>
          <w:ilvl w:val="0"/>
          <w:numId w:val="1002"/>
        </w:numPr>
      </w:pPr>
      <w:r>
        <w:t xml:space="preserve">Broadcast traffic</w:t>
      </w:r>
    </w:p>
    <w:p>
      <w:pPr>
        <w:pStyle w:val="FirstParagraph"/>
      </w:pPr>
      <w:r>
        <w:t xml:space="preserve">Disposition:</w:t>
      </w:r>
      <w:r>
        <w:t xml:space="preserve"> </w:t>
      </w:r>
      <w:r>
        <w:t xml:space="preserve">Benign</w:t>
      </w:r>
    </w:p>
    <w:p>
      <w:pPr>
        <w:pStyle w:val="BodyText"/>
      </w:pPr>
      <w:r>
        <w:t xml:space="preserve">Priority:</w:t>
      </w:r>
      <w:r>
        <w:t xml:space="preserve"> </w:t>
      </w:r>
      <w:r>
        <w:t xml:space="preserve">Informational</w:t>
      </w:r>
    </w:p>
    <w:p>
      <w:pPr>
        <w:pStyle w:val="BodyText"/>
      </w:pPr>
      <w:r>
        <w:t xml:space="preserve">Notes:</w:t>
      </w:r>
      <w:r>
        <w:t xml:space="preserve"> </w:t>
      </w:r>
      <w:r>
        <w:t xml:space="preserve">Expected Windows name resolution behavior.</w:t>
      </w:r>
    </w:p>
    <w:p>
      <w:r>
        <w:pict>
          <v:rect style="width:0;height:1.5pt" o:hralign="center" o:hrstd="t" o:hr="t"/>
        </w:pict>
      </w:r>
    </w:p>
    <w:bookmarkEnd w:id="21"/>
    <w:bookmarkStart w:id="22" w:name="alert-003"/>
    <w:p>
      <w:pPr>
        <w:pStyle w:val="Heading2"/>
      </w:pPr>
      <w:r>
        <w:t xml:space="preserve">Alert 003</w:t>
      </w:r>
    </w:p>
    <w:p>
      <w:pPr>
        <w:pStyle w:val="FirstParagraph"/>
      </w:pPr>
      <w:r>
        <w:t xml:space="preserve">Name:</w:t>
      </w:r>
      <w:r>
        <w:t xml:space="preserve"> </w:t>
      </w:r>
      <w:r>
        <w:t xml:space="preserve">Endpoint Central Lookup Activity</w:t>
      </w:r>
    </w:p>
    <w:p>
      <w:pPr>
        <w:pStyle w:val="BodyText"/>
      </w:pPr>
      <w:r>
        <w:t xml:space="preserve">Indicator:</w:t>
      </w:r>
      <w:r>
        <w:t xml:space="preserve"> </w:t>
      </w:r>
      <w:r>
        <w:t xml:space="preserve">dns.query.name = endpointcentral</w:t>
      </w:r>
    </w:p>
    <w:p>
      <w:pPr>
        <w:pStyle w:val="BodyText"/>
      </w:pPr>
      <w:r>
        <w:t xml:space="preserve">Root Cause:</w:t>
      </w:r>
      <w:r>
        <w:t xml:space="preserve"> </w:t>
      </w:r>
      <w:r>
        <w:t xml:space="preserve">Endpoint Central agents remain installed while server is offline.</w:t>
      </w:r>
    </w:p>
    <w:p>
      <w:pPr>
        <w:pStyle w:val="BodyText"/>
      </w:pPr>
      <w:r>
        <w:t xml:space="preserve">Observed Volume:</w:t>
      </w:r>
      <w:r>
        <w:t xml:space="preserve"> </w:t>
      </w:r>
      <w:r>
        <w:t xml:space="preserve">~27,000+ events/day</w:t>
      </w:r>
    </w:p>
    <w:p>
      <w:pPr>
        <w:pStyle w:val="BodyText"/>
      </w:pPr>
      <w:r>
        <w:t xml:space="preserve">Disposition:</w:t>
      </w:r>
      <w:r>
        <w:t xml:space="preserve"> </w:t>
      </w:r>
      <w:r>
        <w:t xml:space="preserve">Known benign environmental condition.</w:t>
      </w:r>
    </w:p>
    <w:p>
      <w:pPr>
        <w:pStyle w:val="BodyText"/>
      </w:pPr>
      <w:r>
        <w:t xml:space="preserve">Priority:</w:t>
      </w:r>
      <w:r>
        <w:t xml:space="preserve"> </w:t>
      </w:r>
      <w:r>
        <w:t xml:space="preserve">Informational</w:t>
      </w:r>
    </w:p>
    <w:p>
      <w:r>
        <w:pict>
          <v:rect style="width:0;height:1.5pt" o:hralign="center" o:hrstd="t" o:hr="t"/>
        </w:pict>
      </w:r>
    </w:p>
    <w:bookmarkEnd w:id="22"/>
    <w:bookmarkStart w:id="23" w:name="alert-004"/>
    <w:p>
      <w:pPr>
        <w:pStyle w:val="Heading2"/>
      </w:pPr>
      <w:r>
        <w:t xml:space="preserve">Alert 004</w:t>
      </w:r>
    </w:p>
    <w:p>
      <w:pPr>
        <w:pStyle w:val="FirstParagraph"/>
      </w:pPr>
      <w:r>
        <w:t xml:space="preserve">Name:</w:t>
      </w:r>
      <w:r>
        <w:t xml:space="preserve"> </w:t>
      </w:r>
      <w:r>
        <w:t xml:space="preserve">Active Directory DNS Activity</w:t>
      </w:r>
    </w:p>
    <w:p>
      <w:pPr>
        <w:pStyle w:val="BodyText"/>
      </w:pPr>
      <w:r>
        <w:t xml:space="preserve">Systems:</w:t>
      </w:r>
    </w:p>
    <w:p>
      <w:pPr>
        <w:pStyle w:val="Compact"/>
        <w:numPr>
          <w:ilvl w:val="0"/>
          <w:numId w:val="1003"/>
        </w:numPr>
      </w:pPr>
      <w:r>
        <w:t xml:space="preserve">DC1</w:t>
      </w:r>
    </w:p>
    <w:p>
      <w:pPr>
        <w:pStyle w:val="Compact"/>
        <w:numPr>
          <w:ilvl w:val="0"/>
          <w:numId w:val="1003"/>
        </w:numPr>
      </w:pPr>
      <w:r>
        <w:t xml:space="preserve">DC2</w:t>
      </w:r>
    </w:p>
    <w:p>
      <w:pPr>
        <w:pStyle w:val="FirstParagraph"/>
      </w:pPr>
      <w:r>
        <w:t xml:space="preserve">Observed Volume:</w:t>
      </w:r>
      <w:r>
        <w:t xml:space="preserve"> </w:t>
      </w:r>
      <w:r>
        <w:t xml:space="preserve">~4,200+ DNS events/day</w:t>
      </w:r>
    </w:p>
    <w:p>
      <w:pPr>
        <w:pStyle w:val="BodyText"/>
      </w:pPr>
      <w:r>
        <w:t xml:space="preserve">Disposition:</w:t>
      </w:r>
      <w:r>
        <w:t xml:space="preserve"> </w:t>
      </w:r>
      <w:r>
        <w:t xml:space="preserve">Expected</w:t>
      </w:r>
    </w:p>
    <w:p>
      <w:pPr>
        <w:pStyle w:val="BodyText"/>
      </w:pPr>
      <w:r>
        <w:t xml:space="preserve">Priority:</w:t>
      </w:r>
      <w:r>
        <w:t xml:space="preserve"> </w:t>
      </w:r>
      <w:r>
        <w:t xml:space="preserve">Informational</w:t>
      </w:r>
    </w:p>
    <w:p>
      <w:r>
        <w:pict>
          <v:rect style="width:0;height:1.5pt" o:hralign="center" o:hrstd="t" o:hr="t"/>
        </w:pict>
      </w:r>
    </w:p>
    <w:bookmarkEnd w:id="23"/>
    <w:bookmarkStart w:id="24" w:name="alert-005"/>
    <w:p>
      <w:pPr>
        <w:pStyle w:val="Heading2"/>
      </w:pPr>
      <w:r>
        <w:t xml:space="preserve">Alert 005</w:t>
      </w:r>
    </w:p>
    <w:p>
      <w:pPr>
        <w:pStyle w:val="FirstParagraph"/>
      </w:pPr>
      <w:r>
        <w:t xml:space="preserve">SID:</w:t>
      </w:r>
      <w:r>
        <w:t xml:space="preserve"> </w:t>
      </w:r>
      <w:r>
        <w:t xml:space="preserve">2027397</w:t>
      </w:r>
    </w:p>
    <w:p>
      <w:pPr>
        <w:pStyle w:val="BodyText"/>
      </w:pPr>
      <w:r>
        <w:t xml:space="preserve">Rule Set:</w:t>
      </w:r>
      <w:r>
        <w:t xml:space="preserve"> </w:t>
      </w:r>
      <w:r>
        <w:t xml:space="preserve">Emerging Threats</w:t>
      </w:r>
    </w:p>
    <w:p>
      <w:pPr>
        <w:pStyle w:val="BodyText"/>
      </w:pPr>
      <w:r>
        <w:t xml:space="preserve">Name:</w:t>
      </w:r>
      <w:r>
        <w:t xml:space="preserve"> </w:t>
      </w:r>
      <w:r>
        <w:t xml:space="preserve">SMB2 NT Create Request for .BAT File</w:t>
      </w:r>
    </w:p>
    <w:p>
      <w:pPr>
        <w:pStyle w:val="BodyText"/>
      </w:pPr>
      <w:r>
        <w:t xml:space="preserve">Disposition:</w:t>
      </w:r>
      <w:r>
        <w:t xml:space="preserve"> </w:t>
      </w:r>
      <w:r>
        <w:t xml:space="preserve">Review Required</w:t>
      </w:r>
    </w:p>
    <w:p>
      <w:pPr>
        <w:pStyle w:val="BodyText"/>
      </w:pPr>
      <w:r>
        <w:t xml:space="preserve">Priority:</w:t>
      </w:r>
      <w:r>
        <w:t xml:space="preserve"> </w:t>
      </w:r>
      <w:r>
        <w:t xml:space="preserve">Medium</w:t>
      </w:r>
    </w:p>
    <w:p>
      <w:pPr>
        <w:pStyle w:val="BodyText"/>
      </w:pPr>
      <w:r>
        <w:t xml:space="preserve">MITRE:</w:t>
      </w:r>
      <w:r>
        <w:t xml:space="preserve"> </w:t>
      </w:r>
      <w:r>
        <w:t xml:space="preserve">T1021.002</w:t>
      </w:r>
    </w:p>
    <w:p>
      <w:r>
        <w:pict>
          <v:rect style="width:0;height:1.5pt" o:hralign="center" o:hrstd="t" o:hr="t"/>
        </w:pict>
      </w:r>
    </w:p>
    <w:bookmarkEnd w:id="24"/>
    <w:bookmarkStart w:id="25" w:name="alert-006"/>
    <w:p>
      <w:pPr>
        <w:pStyle w:val="Heading2"/>
      </w:pPr>
      <w:r>
        <w:t xml:space="preserve">Alert 006</w:t>
      </w:r>
    </w:p>
    <w:p>
      <w:pPr>
        <w:pStyle w:val="FirstParagraph"/>
      </w:pPr>
      <w:r>
        <w:t xml:space="preserve">Name:</w:t>
      </w:r>
      <w:r>
        <w:t xml:space="preserve"> </w:t>
      </w:r>
      <w:r>
        <w:t xml:space="preserve">KEYPLUG Detection</w:t>
      </w:r>
    </w:p>
    <w:p>
      <w:pPr>
        <w:pStyle w:val="BodyText"/>
      </w:pPr>
      <w:r>
        <w:t xml:space="preserve">Disposition:</w:t>
      </w:r>
      <w:r>
        <w:t xml:space="preserve"> </w:t>
      </w:r>
      <w:r>
        <w:t xml:space="preserve">Investigate</w:t>
      </w:r>
    </w:p>
    <w:p>
      <w:pPr>
        <w:pStyle w:val="BodyText"/>
      </w:pPr>
      <w: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t xml:space="preserve">Notes:</w:t>
      </w:r>
      <w:r>
        <w:t xml:space="preserve"> </w:t>
      </w:r>
      <w:r>
        <w:t xml:space="preserve">Review PCAP, Zeek logs, endpoint telemetry.</w:t>
      </w:r>
    </w:p>
    <w:p>
      <w:r>
        <w:pict>
          <v:rect style="width:0;height:1.5pt" o:hralign="center" o:hrstd="t" o:hr="t"/>
        </w:pict>
      </w:r>
    </w:p>
    <w:bookmarkEnd w:id="25"/>
    <w:bookmarkStart w:id="26" w:name="alert-007"/>
    <w:p>
      <w:pPr>
        <w:pStyle w:val="Heading2"/>
      </w:pPr>
      <w:r>
        <w:t xml:space="preserve">Alert 007</w:t>
      </w:r>
    </w:p>
    <w:p>
      <w:pPr>
        <w:pStyle w:val="FirstParagraph"/>
      </w:pPr>
      <w:r>
        <w:t xml:space="preserve">Name:</w:t>
      </w:r>
      <w:r>
        <w:t xml:space="preserve"> </w:t>
      </w:r>
      <w:r>
        <w:t xml:space="preserve">Downadup UDP Ping</w:t>
      </w:r>
    </w:p>
    <w:p>
      <w:pPr>
        <w:pStyle w:val="BodyText"/>
      </w:pPr>
      <w:r>
        <w:t xml:space="preserve">Disposition:</w:t>
      </w:r>
      <w:r>
        <w:t xml:space="preserve"> </w:t>
      </w:r>
      <w:r>
        <w:t xml:space="preserve">Investigate</w:t>
      </w:r>
    </w:p>
    <w:p>
      <w:pPr>
        <w:pStyle w:val="BodyText"/>
      </w:pPr>
      <w:r>
        <w:t xml:space="preserve">Priority:</w:t>
      </w:r>
      <w:r>
        <w:t xml:space="preserve"> </w:t>
      </w:r>
      <w:r>
        <w:t xml:space="preserve">Medium</w:t>
      </w:r>
    </w:p>
    <w:p>
      <w:pPr>
        <w:pStyle w:val="BodyText"/>
      </w:pPr>
      <w:r>
        <w:t xml:space="preserve">Notes:</w:t>
      </w:r>
      <w:r>
        <w:t xml:space="preserve"> </w:t>
      </w:r>
      <w:r>
        <w:t xml:space="preserve">Known false positives observed in lab.</w:t>
      </w:r>
    </w:p>
    <w:p>
      <w:r>
        <w:pict>
          <v:rect style="width:0;height:1.5pt" o:hralign="center" o:hrstd="t" o:hr="t"/>
        </w:pict>
      </w:r>
    </w:p>
    <w:bookmarkEnd w:id="26"/>
    <w:bookmarkStart w:id="27" w:name="alert-008"/>
    <w:p>
      <w:pPr>
        <w:pStyle w:val="Heading2"/>
      </w:pPr>
      <w:r>
        <w:t xml:space="preserve">Alert 008</w:t>
      </w:r>
    </w:p>
    <w:p>
      <w:pPr>
        <w:pStyle w:val="FirstParagraph"/>
      </w:pPr>
      <w:r>
        <w:t xml:space="preserve">Name:</w:t>
      </w:r>
      <w:r>
        <w:t xml:space="preserve"> </w:t>
      </w:r>
      <w:r>
        <w:t xml:space="preserve">Wazuh Rule 204</w:t>
      </w:r>
    </w:p>
    <w:p>
      <w:pPr>
        <w:pStyle w:val="BodyText"/>
      </w:pPr>
      <w:r>
        <w:t xml:space="preserve">Description:</w:t>
      </w:r>
      <w:r>
        <w:t xml:space="preserve"> </w:t>
      </w:r>
      <w:r>
        <w:t xml:space="preserve">Agent queue/buffer warnings.</w:t>
      </w:r>
    </w:p>
    <w:p>
      <w:pPr>
        <w:pStyle w:val="BodyText"/>
      </w:pPr>
      <w:r>
        <w:t xml:space="preserve">Disposition:</w:t>
      </w:r>
      <w:r>
        <w:t xml:space="preserve"> </w:t>
      </w:r>
      <w:r>
        <w:t xml:space="preserve">Operational Alert</w:t>
      </w:r>
    </w:p>
    <w:p>
      <w:pPr>
        <w:pStyle w:val="BodyText"/>
      </w:pPr>
      <w:r>
        <w:t xml:space="preserve">Priority:</w:t>
      </w:r>
      <w:r>
        <w:t xml:space="preserve"> </w:t>
      </w:r>
      <w:r>
        <w:t xml:space="preserve">Low</w:t>
      </w:r>
    </w:p>
    <w:p>
      <w:pPr>
        <w:pStyle w:val="BodyText"/>
      </w:pPr>
      <w:r>
        <w:t xml:space="preserve">Notes:</w:t>
      </w:r>
      <w:r>
        <w:t xml:space="preserve"> </w:t>
      </w:r>
      <w:r>
        <w:t xml:space="preserve">Commonly observed on heavily utilized endpoints.</w:t>
      </w:r>
    </w:p>
    <w:p>
      <w:r>
        <w:pict>
          <v:rect style="width:0;height:1.5pt" o:hralign="center" o:hrstd="t" o:hr="t"/>
        </w:pict>
      </w:r>
    </w:p>
    <w:bookmarkEnd w:id="27"/>
    <w:bookmarkStart w:id="30" w:name="X8e528e031f6d2cd08741135754cc7b6239f6b1e"/>
    <w:p>
      <w:pPr>
        <w:pStyle w:val="Heading2"/>
      </w:pPr>
      <w:r>
        <w:t xml:space="preserve">Critical Assets Requiring Immediate Escalation</w:t>
      </w:r>
    </w:p>
    <w:bookmarkStart w:id="28" w:name="domain-controllers"/>
    <w:p>
      <w:pPr>
        <w:pStyle w:val="Heading3"/>
      </w:pPr>
      <w:r>
        <w:t xml:space="preserve">Domain Controllers</w:t>
      </w:r>
    </w:p>
    <w:p>
      <w:pPr>
        <w:pStyle w:val="Compact"/>
        <w:numPr>
          <w:ilvl w:val="0"/>
          <w:numId w:val="1004"/>
        </w:numPr>
      </w:pPr>
      <w:r>
        <w:t xml:space="preserve">10.192.60.6</w:t>
      </w:r>
    </w:p>
    <w:p>
      <w:pPr>
        <w:pStyle w:val="Compact"/>
        <w:numPr>
          <w:ilvl w:val="0"/>
          <w:numId w:val="1004"/>
        </w:numPr>
      </w:pPr>
      <w:r>
        <w:t xml:space="preserve">10.192.60.8</w:t>
      </w:r>
    </w:p>
    <w:bookmarkEnd w:id="28"/>
    <w:bookmarkStart w:id="29" w:name="security-infrastructure"/>
    <w:p>
      <w:pPr>
        <w:pStyle w:val="Heading3"/>
      </w:pPr>
      <w:r>
        <w:t xml:space="preserve">Security Infrastructure</w:t>
      </w:r>
    </w:p>
    <w:p>
      <w:pPr>
        <w:pStyle w:val="Compact"/>
        <w:numPr>
          <w:ilvl w:val="0"/>
          <w:numId w:val="1005"/>
        </w:numPr>
      </w:pPr>
      <w:r>
        <w:t xml:space="preserve">10.192.30.54</w:t>
      </w:r>
    </w:p>
    <w:p>
      <w:pPr>
        <w:pStyle w:val="Compact"/>
        <w:numPr>
          <w:ilvl w:val="0"/>
          <w:numId w:val="1005"/>
        </w:numPr>
      </w:pPr>
      <w:r>
        <w:t xml:space="preserve">10.192.30.71</w:t>
      </w:r>
    </w:p>
    <w:p>
      <w:pPr>
        <w:pStyle w:val="Compact"/>
        <w:numPr>
          <w:ilvl w:val="0"/>
          <w:numId w:val="1005"/>
        </w:numPr>
      </w:pPr>
      <w:r>
        <w:t xml:space="preserve">10.192.30.95</w:t>
      </w:r>
    </w:p>
    <w:p>
      <w:pPr>
        <w:pStyle w:val="Compact"/>
        <w:numPr>
          <w:ilvl w:val="0"/>
          <w:numId w:val="1005"/>
        </w:numPr>
      </w:pPr>
      <w:r>
        <w:t xml:space="preserve">10.192.30.101</w:t>
      </w:r>
    </w:p>
    <w:p>
      <w:pPr>
        <w:pStyle w:val="FirstParagraph"/>
      </w:pPr>
      <w:r>
        <w:t xml:space="preserve">Immediate Investigation Triggers:</w:t>
      </w:r>
    </w:p>
    <w:p>
      <w:pPr>
        <w:pStyle w:val="Compact"/>
        <w:numPr>
          <w:ilvl w:val="0"/>
          <w:numId w:val="1006"/>
        </w:numPr>
      </w:pPr>
      <w:r>
        <w:t xml:space="preserve">Encoded PowerShell</w:t>
      </w:r>
    </w:p>
    <w:p>
      <w:pPr>
        <w:pStyle w:val="Compact"/>
        <w:numPr>
          <w:ilvl w:val="0"/>
          <w:numId w:val="1006"/>
        </w:numPr>
      </w:pPr>
      <w:r>
        <w:t xml:space="preserve">New Services</w:t>
      </w:r>
    </w:p>
    <w:p>
      <w:pPr>
        <w:pStyle w:val="Compact"/>
        <w:numPr>
          <w:ilvl w:val="0"/>
          <w:numId w:val="1006"/>
        </w:numPr>
      </w:pPr>
      <w:r>
        <w:t xml:space="preserve">Lateral Movement</w:t>
      </w:r>
    </w:p>
    <w:p>
      <w:pPr>
        <w:pStyle w:val="Compact"/>
        <w:numPr>
          <w:ilvl w:val="0"/>
          <w:numId w:val="1006"/>
        </w:numPr>
      </w:pPr>
      <w:r>
        <w:t xml:space="preserve">External Malware Communications</w:t>
      </w:r>
    </w:p>
    <w:p>
      <w:pPr>
        <w:pStyle w:val="Compact"/>
        <w:numPr>
          <w:ilvl w:val="0"/>
          <w:numId w:val="1006"/>
        </w:numPr>
      </w:pPr>
      <w:r>
        <w:t xml:space="preserve">Suspicious SMB Activity</w:t>
      </w:r>
    </w:p>
    <w:bookmarkEnd w:id="29"/>
    <w:bookmarkEnd w:id="30"/>
    <w:bookmarkEnd w:id="31"/>
    <w:p>
      <w:pPr>
        <w:pStyle w:val="Heading2"/>
      </w:pPr>
      <w:r>
        <w:t>Validated False Positive: ET EXPLOIT Possible CVE-2020-11899 Multicast Out-of-Bound Read</w:t>
      </w:r>
    </w:p>
    <w:p>
      <w:r>
        <w:t>Date Added: 2026-07-07</w:t>
      </w:r>
    </w:p>
    <w:p>
      <w:r>
        <w:rPr>
          <w:b/>
        </w:rPr>
        <w:t xml:space="preserve">Rule: </w:t>
      </w:r>
      <w:r>
        <w:t>ET EXPLOIT Possible CVE-2020-11899 Multicast out-of-bound read (SID 2030387)</w:t>
      </w:r>
    </w:p>
    <w:p>
      <w:r>
        <w:rPr>
          <w:b/>
        </w:rPr>
        <w:t xml:space="preserve">Severity: </w:t>
      </w:r>
      <w:r>
        <w:t>High</w:t>
      </w:r>
    </w:p>
    <w:p>
      <w:r>
        <w:rPr>
          <w:b/>
        </w:rPr>
        <w:t xml:space="preserve">Classification: </w:t>
      </w:r>
      <w:r>
        <w:t>Validated False Positive</w:t>
      </w:r>
    </w:p>
    <w:p>
      <w:r>
        <w:rPr>
          <w:b/>
        </w:rPr>
        <w:t xml:space="preserve">Environment: </w:t>
      </w:r>
      <w:r>
        <w:t>Security Onion 2.4.x Home SOC Lab</w:t>
      </w:r>
    </w:p>
    <w:p>
      <w:r>
        <w:rPr>
          <w:b/>
        </w:rPr>
        <w:t xml:space="preserve">Observed Source: </w:t>
      </w:r>
      <w:r>
        <w:t>Apple iPhone (IP 10.192.140.103) connected to the Elijah Room wireless access point using a Private Wi‑Fi Address (randomized MAC 06:0a:b7:52:f7:31).</w:t>
      </w:r>
    </w:p>
    <w:p>
      <w:r>
        <w:rPr>
          <w:b/>
        </w:rPr>
        <w:t xml:space="preserve">Trigger: </w:t>
      </w:r>
      <w:r>
        <w:t>Legitimate IPv6 multicast service discovery traffic (mDNS/related IPv6 discovery) matched the Emerging Threats heuristic.</w:t>
      </w:r>
    </w:p>
    <w:p>
      <w:r>
        <w:rPr>
          <w:b/>
        </w:rPr>
        <w:t xml:space="preserve">Validation Steps: </w:t>
      </w:r>
      <w:r>
        <w:t>Reviewed the PCAP, extracted the source MAC, traced it through the House Aggregation switch, Den switch, and wireless access point, then confirmed the endpoint on the wireless controller.</w:t>
      </w:r>
    </w:p>
    <w:p>
      <w:r>
        <w:rPr>
          <w:b/>
        </w:rPr>
        <w:t xml:space="preserve">Root Cause: </w:t>
      </w:r>
      <w:r>
        <w:t>Expected Apple iPhone IPv6 multicast discovery traffic. No evidence of CVE-2020-11899/Ripple20 exploitation or malicious activity.</w:t>
      </w:r>
    </w:p>
    <w:p>
      <w:r>
        <w:rPr>
          <w:b/>
        </w:rPr>
        <w:t xml:space="preserve">SOC Disposition: </w:t>
      </w:r>
      <w:r>
        <w:t>Close as False Positive after confirming the traffic originates from a trusted internal device and matches expected IPv6 multicast behavior.</w:t>
      </w:r>
    </w:p>
    <w:p>
      <w:r>
        <w:rPr>
          <w:b/>
        </w:rPr>
        <w:t xml:space="preserve">Tuning Guidance: </w:t>
      </w:r>
      <w:r>
        <w:t>Do not disable SID 2030387 globally. If operationally necessary, create a targeted suppression for trusted internal IPv6 multicast discovery traffic while retaining detection for unknown or external sources.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2026-06-22T23:22:48Z</dcterms:created>
  <dcterms:modified xsi:type="dcterms:W3CDTF">2026-06-22T23:22:48Z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