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soc-lab-knowledgebase.md"/>
    <w:p>
      <w:pPr>
        <w:pStyle w:val="Heading1"/>
      </w:pPr>
      <w:r>
        <w:t xml:space="preserve">SOC-LAB-KNOWLEDGEBASE.md</w:t>
      </w:r>
    </w:p>
    <w:bookmarkStart w:id="20" w:name="soc-infrastructure-network"/>
    <w:p>
      <w:pPr>
        <w:pStyle w:val="Heading2"/>
      </w:pPr>
      <w:r>
        <w:t xml:space="preserve">SOC Infrastructure Network</w:t>
      </w:r>
    </w:p>
    <w:p>
      <w:pPr>
        <w:pStyle w:val="FirstParagraph"/>
      </w:pPr>
      <w:r>
        <w:t xml:space="preserve">10.192.30.0/24</w:t>
      </w:r>
    </w:p>
    <w:p>
      <w:pPr>
        <w:pStyle w:val="BodyText"/>
      </w:pPr>
      <w:r>
        <w:t xml:space="preserve">Known Systems:</w:t>
      </w:r>
    </w:p>
    <w:p>
      <w:pPr>
        <w:pStyle w:val="Compact"/>
        <w:numPr>
          <w:ilvl w:val="0"/>
          <w:numId w:val="1001"/>
        </w:numPr>
      </w:pPr>
      <w:r>
        <w:t xml:space="preserve">Security Onion (10.192.30.101)</w:t>
      </w:r>
    </w:p>
    <w:p>
      <w:pPr>
        <w:pStyle w:val="Compact"/>
        <w:numPr>
          <w:ilvl w:val="0"/>
          <w:numId w:val="1001"/>
        </w:numPr>
      </w:pPr>
      <w:r>
        <w:t xml:space="preserve">WAZUH (10.192.30.95)</w:t>
      </w:r>
    </w:p>
    <w:p>
      <w:pPr>
        <w:pStyle w:val="Compact"/>
        <w:numPr>
          <w:ilvl w:val="0"/>
          <w:numId w:val="1001"/>
        </w:numPr>
      </w:pPr>
      <w:r>
        <w:t xml:space="preserve">SIEM (10.192.30.54)</w:t>
      </w:r>
    </w:p>
    <w:p>
      <w:pPr>
        <w:pStyle w:val="Compact"/>
        <w:numPr>
          <w:ilvl w:val="0"/>
          <w:numId w:val="1001"/>
        </w:numPr>
      </w:pPr>
      <w:r>
        <w:t xml:space="preserve">LOG360 (10.192.30.71)</w:t>
      </w:r>
    </w:p>
    <w:p>
      <w:pPr>
        <w:pStyle w:val="Compact"/>
        <w:numPr>
          <w:ilvl w:val="0"/>
          <w:numId w:val="1001"/>
        </w:numPr>
      </w:pPr>
      <w:r>
        <w:t xml:space="preserve">CHECKMK (10.192.30.46)</w:t>
      </w:r>
    </w:p>
    <w:bookmarkEnd w:id="20"/>
    <w:bookmarkStart w:id="21" w:name="domain-controller-network"/>
    <w:p>
      <w:pPr>
        <w:pStyle w:val="Heading2"/>
      </w:pPr>
      <w:r>
        <w:t xml:space="preserve">Domain Controller Network</w:t>
      </w:r>
    </w:p>
    <w:p>
      <w:pPr>
        <w:pStyle w:val="FirstParagraph"/>
      </w:pPr>
      <w:r>
        <w:t xml:space="preserve">10.192.60.0/24</w:t>
      </w:r>
    </w:p>
    <w:p>
      <w:pPr>
        <w:pStyle w:val="BodyText"/>
      </w:pPr>
      <w:r>
        <w:t xml:space="preserve">Known Systems:</w:t>
      </w:r>
    </w:p>
    <w:p>
      <w:pPr>
        <w:pStyle w:val="Compact"/>
        <w:numPr>
          <w:ilvl w:val="0"/>
          <w:numId w:val="1002"/>
        </w:numPr>
      </w:pPr>
      <w:r>
        <w:t xml:space="preserve">DC1 (10.192.60.6)</w:t>
      </w:r>
    </w:p>
    <w:p>
      <w:pPr>
        <w:pStyle w:val="Compact"/>
        <w:numPr>
          <w:ilvl w:val="0"/>
          <w:numId w:val="1002"/>
        </w:numPr>
      </w:pPr>
      <w:r>
        <w:t xml:space="preserve">DC2 (10.192.60.8)</w:t>
      </w:r>
    </w:p>
    <w:bookmarkEnd w:id="21"/>
    <w:bookmarkStart w:id="23" w:name="known-environmental-conditions"/>
    <w:p>
      <w:pPr>
        <w:pStyle w:val="Heading2"/>
      </w:pPr>
      <w:r>
        <w:t xml:space="preserve">Known Environmental Conditions</w:t>
      </w:r>
    </w:p>
    <w:bookmarkStart w:id="22" w:name="endpoint-central-server-offline"/>
    <w:p>
      <w:pPr>
        <w:pStyle w:val="Heading3"/>
      </w:pPr>
      <w:r>
        <w:t xml:space="preserve">Endpoint Central Server Offline</w:t>
      </w:r>
    </w:p>
    <w:p>
      <w:pPr>
        <w:pStyle w:val="FirstParagraph"/>
      </w:pPr>
      <w:r>
        <w:t xml:space="preserve">Status:</w:t>
      </w:r>
    </w:p>
    <w:p>
      <w:pPr>
        <w:pStyle w:val="Compact"/>
        <w:numPr>
          <w:ilvl w:val="0"/>
          <w:numId w:val="1003"/>
        </w:numPr>
      </w:pPr>
      <w:r>
        <w:t xml:space="preserve">Endpoint Central server has not been rebuilt.</w:t>
      </w:r>
    </w:p>
    <w:p>
      <w:pPr>
        <w:pStyle w:val="FirstParagraph"/>
      </w:pPr>
      <w:r>
        <w:t xml:space="preserve">Observed Behavior:</w:t>
      </w:r>
    </w:p>
    <w:p>
      <w:pPr>
        <w:pStyle w:val="Compact"/>
        <w:numPr>
          <w:ilvl w:val="0"/>
          <w:numId w:val="1004"/>
        </w:numPr>
      </w:pPr>
      <w:r>
        <w:t xml:space="preserve">Endpoint Central agents remain installed.</w:t>
      </w:r>
    </w:p>
    <w:p>
      <w:pPr>
        <w:pStyle w:val="Compact"/>
        <w:numPr>
          <w:ilvl w:val="0"/>
          <w:numId w:val="1004"/>
        </w:numPr>
      </w:pPr>
      <w:r>
        <w:t xml:space="preserve">Agents continuously attempt to locate</w:t>
      </w:r>
      <w:r>
        <w:t xml:space="preserve"> </w:t>
      </w:r>
      <w:r>
        <w:t xml:space="preserve">“endpointcentral”</w:t>
      </w:r>
      <w:r>
        <w:t xml:space="preserve">.</w:t>
      </w:r>
    </w:p>
    <w:p>
      <w:pPr>
        <w:pStyle w:val="FirstParagraph"/>
      </w:pPr>
      <w:r>
        <w:t xml:space="preserve">Observed Security Onion Activity:</w:t>
      </w:r>
    </w:p>
    <w:p>
      <w:pPr>
        <w:pStyle w:val="Compact"/>
        <w:numPr>
          <w:ilvl w:val="0"/>
          <w:numId w:val="1005"/>
        </w:numPr>
      </w:pPr>
      <w:r>
        <w:t xml:space="preserve">dns.query.name = endpointcentral</w:t>
      </w:r>
    </w:p>
    <w:p>
      <w:pPr>
        <w:pStyle w:val="Compact"/>
        <w:numPr>
          <w:ilvl w:val="0"/>
          <w:numId w:val="1005"/>
        </w:numPr>
      </w:pPr>
      <w:r>
        <w:t xml:space="preserve">Approximately 27,000+ lookup events per day.</w:t>
      </w:r>
    </w:p>
    <w:p>
      <w:pPr>
        <w:pStyle w:val="FirstParagraph"/>
      </w:pPr>
      <w:r>
        <w:t xml:space="preserve">Disposition:</w:t>
      </w:r>
      <w:r>
        <w:t xml:space="preserve"> </w:t>
      </w:r>
      <w:r>
        <w:t xml:space="preserve">Known benign environmental condition.</w:t>
      </w:r>
    </w:p>
    <w:bookmarkEnd w:id="22"/>
    <w:bookmarkEnd w:id="23"/>
    <w:bookmarkStart w:id="27" w:name="name-resolution-baseline"/>
    <w:p>
      <w:pPr>
        <w:pStyle w:val="Heading2"/>
      </w:pPr>
      <w:r>
        <w:t xml:space="preserve">Name Resolution Baseline</w:t>
      </w:r>
    </w:p>
    <w:bookmarkStart w:id="24" w:name="llmnr"/>
    <w:p>
      <w:pPr>
        <w:pStyle w:val="Heading3"/>
      </w:pPr>
      <w:r>
        <w:t xml:space="preserve">LLMNR</w:t>
      </w:r>
    </w:p>
    <w:p>
      <w:pPr>
        <w:pStyle w:val="FirstParagraph"/>
      </w:pPr>
      <w:r>
        <w:t xml:space="preserve">Destination:</w:t>
      </w:r>
      <w:r>
        <w:t xml:space="preserve"> </w:t>
      </w:r>
      <w:r>
        <w:t xml:space="preserve">224.0.0.252</w:t>
      </w:r>
    </w:p>
    <w:p>
      <w:pPr>
        <w:pStyle w:val="BodyText"/>
      </w:pPr>
      <w:r>
        <w:t xml:space="preserve">Port:</w:t>
      </w:r>
      <w:r>
        <w:t xml:space="preserve"> </w:t>
      </w:r>
      <w:r>
        <w:t xml:space="preserve">5355/UDP</w:t>
      </w:r>
    </w:p>
    <w:p>
      <w:pPr>
        <w:pStyle w:val="BodyText"/>
      </w:pPr>
      <w:r>
        <w:t xml:space="preserve">Observed Volume:</w:t>
      </w:r>
      <w:r>
        <w:t xml:space="preserve"> </w:t>
      </w:r>
      <w:r>
        <w:t xml:space="preserve">~70,000 events per day.</w:t>
      </w:r>
    </w:p>
    <w:p>
      <w:pPr>
        <w:pStyle w:val="BodyText"/>
      </w:pPr>
      <w:r>
        <w:t xml:space="preserve">Assessment:</w:t>
      </w:r>
      <w:r>
        <w:t xml:space="preserve"> </w:t>
      </w:r>
      <w:r>
        <w:t xml:space="preserve">Expected Windows multicast name resolution traffic.</w:t>
      </w:r>
    </w:p>
    <w:bookmarkEnd w:id="24"/>
    <w:bookmarkStart w:id="25" w:name="netbios"/>
    <w:p>
      <w:pPr>
        <w:pStyle w:val="Heading3"/>
      </w:pPr>
      <w:r>
        <w:t xml:space="preserve">NetBIOS</w:t>
      </w:r>
    </w:p>
    <w:p>
      <w:pPr>
        <w:pStyle w:val="FirstParagraph"/>
      </w:pPr>
      <w:r>
        <w:t xml:space="preserve">Port:</w:t>
      </w:r>
      <w:r>
        <w:t xml:space="preserve"> </w:t>
      </w:r>
      <w:r>
        <w:t xml:space="preserve">137/UDP</w:t>
      </w:r>
    </w:p>
    <w:p>
      <w:pPr>
        <w:pStyle w:val="BodyText"/>
      </w:pPr>
      <w:r>
        <w:t xml:space="preserve">Observed Volume:</w:t>
      </w:r>
      <w:r>
        <w:t xml:space="preserve"> </w:t>
      </w:r>
      <w:r>
        <w:t xml:space="preserve">High</w:t>
      </w:r>
    </w:p>
    <w:p>
      <w:pPr>
        <w:pStyle w:val="BodyText"/>
      </w:pPr>
      <w:r>
        <w:t xml:space="preserve">Assessment:</w:t>
      </w:r>
      <w:r>
        <w:t xml:space="preserve"> </w:t>
      </w:r>
      <w:r>
        <w:t xml:space="preserve">Expected Windows name resolution behavior.</w:t>
      </w:r>
    </w:p>
    <w:bookmarkEnd w:id="25"/>
    <w:bookmarkStart w:id="26" w:name="dns"/>
    <w:p>
      <w:pPr>
        <w:pStyle w:val="Heading3"/>
      </w:pPr>
      <w:r>
        <w:t xml:space="preserve">DNS</w:t>
      </w:r>
    </w:p>
    <w:p>
      <w:pPr>
        <w:pStyle w:val="FirstParagraph"/>
      </w:pPr>
      <w:r>
        <w:t xml:space="preserve">Observed Volume:</w:t>
      </w:r>
      <w:r>
        <w:t xml:space="preserve"> </w:t>
      </w:r>
      <w:r>
        <w:t xml:space="preserve">High</w:t>
      </w:r>
    </w:p>
    <w:p>
      <w:pPr>
        <w:pStyle w:val="BodyText"/>
      </w:pPr>
      <w:r>
        <w:t xml:space="preserve">Assessment:</w:t>
      </w:r>
      <w:r>
        <w:t xml:space="preserve"> </w:t>
      </w:r>
      <w:r>
        <w:t xml:space="preserve">Expected Active Directory and Windows network activity.</w:t>
      </w:r>
    </w:p>
    <w:bookmarkEnd w:id="26"/>
    <w:bookmarkEnd w:id="27"/>
    <w:bookmarkStart w:id="28" w:name="security-onion-field-mapping"/>
    <w:p>
      <w:pPr>
        <w:pStyle w:val="Heading2"/>
      </w:pPr>
      <w:r>
        <w:t xml:space="preserve">Security Onion Field Mapping</w:t>
      </w:r>
    </w:p>
    <w:p>
      <w:pPr>
        <w:pStyle w:val="FirstParagraph"/>
      </w:pPr>
      <w:r>
        <w:t xml:space="preserve">Working Queries:</w:t>
      </w:r>
    </w:p>
    <w:p>
      <w:pPr>
        <w:pStyle w:val="BodyText"/>
      </w:pPr>
      <w:r>
        <w:t xml:space="preserve">event.dataset:zeek.dns</w:t>
      </w:r>
    </w:p>
    <w:p>
      <w:pPr>
        <w:pStyle w:val="BodyText"/>
      </w:pPr>
      <w:r>
        <w:t xml:space="preserve">event.dataset:zeek.conn</w:t>
      </w:r>
    </w:p>
    <w:p>
      <w:pPr>
        <w:pStyle w:val="BodyText"/>
      </w:pPr>
      <w:r>
        <w:t xml:space="preserve">event.module:zeek</w:t>
      </w:r>
    </w:p>
    <w:bookmarkEnd w:id="28"/>
    <w:bookmarkStart w:id="29" w:name="security-onion-platform"/>
    <w:p>
      <w:pPr>
        <w:pStyle w:val="Heading2"/>
      </w:pPr>
      <w:r>
        <w:t xml:space="preserve">Security Onion Platform</w:t>
      </w:r>
    </w:p>
    <w:p>
      <w:pPr>
        <w:pStyle w:val="FirstParagraph"/>
      </w:pPr>
      <w:r>
        <w:t xml:space="preserve">Node:</w:t>
      </w:r>
      <w:r>
        <w:t xml:space="preserve"> </w:t>
      </w:r>
      <w:r>
        <w:t xml:space="preserve">securityonion</w:t>
      </w:r>
    </w:p>
    <w:p>
      <w:pPr>
        <w:pStyle w:val="BodyText"/>
      </w:pPr>
      <w:r>
        <w:t xml:space="preserve">Version:</w:t>
      </w:r>
      <w:r>
        <w:t xml:space="preserve"> </w:t>
      </w:r>
      <w:r>
        <w:t xml:space="preserve">2.4.x</w:t>
      </w:r>
    </w:p>
    <w:p>
      <w:pPr>
        <w:pStyle w:val="BodyText"/>
      </w:pPr>
      <w:r>
        <w:t xml:space="preserve">Primary Functions:</w:t>
      </w:r>
    </w:p>
    <w:p>
      <w:pPr>
        <w:pStyle w:val="Compact"/>
        <w:numPr>
          <w:ilvl w:val="0"/>
          <w:numId w:val="1006"/>
        </w:numPr>
      </w:pPr>
      <w:r>
        <w:t xml:space="preserve">Zeek</w:t>
      </w:r>
    </w:p>
    <w:p>
      <w:pPr>
        <w:pStyle w:val="Compact"/>
        <w:numPr>
          <w:ilvl w:val="0"/>
          <w:numId w:val="1006"/>
        </w:numPr>
      </w:pPr>
      <w:r>
        <w:t xml:space="preserve">Suricata</w:t>
      </w:r>
    </w:p>
    <w:p>
      <w:pPr>
        <w:pStyle w:val="Compact"/>
        <w:numPr>
          <w:ilvl w:val="0"/>
          <w:numId w:val="1006"/>
        </w:numPr>
      </w:pPr>
      <w:r>
        <w:t xml:space="preserve">Elasticsearch</w:t>
      </w:r>
    </w:p>
    <w:p>
      <w:pPr>
        <w:pStyle w:val="Compact"/>
        <w:numPr>
          <w:ilvl w:val="0"/>
          <w:numId w:val="1006"/>
        </w:numPr>
      </w:pPr>
      <w:r>
        <w:t xml:space="preserve">Fleet</w:t>
      </w:r>
    </w:p>
    <w:p>
      <w:pPr>
        <w:pStyle w:val="Compact"/>
        <w:numPr>
          <w:ilvl w:val="0"/>
          <w:numId w:val="1006"/>
        </w:numPr>
      </w:pPr>
      <w:r>
        <w:t xml:space="preserve">Kibana</w:t>
      </w:r>
    </w:p>
    <w:bookmarkEnd w:id="29"/>
    <w:bookmarkEnd w:id="30"/>
    <w:p>
      <w:pPr>
        <w:pStyle w:val="Heading2"/>
      </w:pPr>
      <w:r>
        <w:t>Case Study: ET EXPLOIT Possible CVE-2020-11899 Multicast Out-of-Bound Read (False Positive)</w:t>
      </w:r>
    </w:p>
    <w:p>
      <w:r>
        <w:t>Date: 2026-07-07</w:t>
      </w:r>
    </w:p>
    <w:p>
      <w:r>
        <w:rPr>
          <w:b/>
        </w:rPr>
        <w:t xml:space="preserve">Alert: </w:t>
      </w:r>
      <w:r>
        <w:t>ET EXPLOIT Possible CVE-2020-11899 Multicast out-of-bound read (SID 2030387).</w:t>
      </w:r>
    </w:p>
    <w:p>
      <w:r>
        <w:rPr>
          <w:b/>
        </w:rPr>
        <w:t xml:space="preserve">Initial Finding: </w:t>
      </w:r>
      <w:r>
        <w:t>IPv6 multicast traffic from an internal wireless client triggered the Emerging Threats signature.</w:t>
      </w:r>
    </w:p>
    <w:p>
      <w:r>
        <w:rPr>
          <w:b/>
        </w:rPr>
        <w:t xml:space="preserve">Investigation: </w:t>
      </w:r>
      <w:r>
        <w:t>Reviewed the Security Onion PCAP, extracted source MAC 06:0a:b7:52:f7:31, traced the MAC through House Aggregation (Gi1/0/2) to the Den Switch (Gi1/0/24), then to the AP in Elijah's room. The wireless controller identified the endpoint as an iPhone using IP 10.192.140.103.</w:t>
      </w:r>
    </w:p>
    <w:p>
      <w:r>
        <w:rPr>
          <w:b/>
        </w:rPr>
        <w:t xml:space="preserve">Analysis: </w:t>
      </w:r>
      <w:r>
        <w:t>The MAC address is locally administered, consistent with Apple's Private Wi‑Fi Address feature. Traffic consisted of normal IPv6 multicast service discovery (mDNS/related discovery). No evidence of Ripple20/CVE-2020-11899 exploitation was found.</w:t>
      </w:r>
    </w:p>
    <w:p>
      <w:r>
        <w:rPr>
          <w:b/>
        </w:rPr>
        <w:t xml:space="preserve">Disposition: </w:t>
      </w:r>
      <w:r>
        <w:t>False Positive / Expected Network Behavior.</w:t>
      </w:r>
    </w:p>
    <w:p>
      <w:r>
        <w:rPr>
          <w:b/>
        </w:rPr>
        <w:t xml:space="preserve">Recommendation: </w:t>
      </w:r>
      <w:r>
        <w:t>Retain SID 2030387. If recurring alerts become operationally noisy, implement a targeted suppression or tuning rule for trusted internal IPv6 multicast discovery traffic rather than disabling the signature globally.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2026-06-22T23:22:35Z</dcterms:created>
  <dcterms:modified xsi:type="dcterms:W3CDTF">2026-06-22T23:22:35Z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