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nationa</w:t>
      </w: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grid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5121951219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October 6</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2015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627177700348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Senate Chair Ben Downing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Committee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Telecommunications</w:t>
      </w:r>
      <w:r w:rsidDel="00000000" w:rsidR="00000000" w:rsidRPr="00000000">
        <w:rPr>
          <w:rFonts w:ascii="Arial" w:cs="Arial" w:eastAsia="Arial" w:hAnsi="Arial"/>
          <w:b w:val="0"/>
          <w:i w:val="0"/>
          <w:smallCaps w:val="0"/>
          <w:strike w:val="0"/>
          <w:color w:val="bfb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Utilities and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Energy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Room 413F State House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MA 02133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14982578397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House Chair Tom Golden Committee on Telecommunications, Utilities and Energy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 473B State House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Boston, MA 02133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27874564459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Chairs Downing, Golden and Members of the Committee: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710801393728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behalf of National Grid, a gas and electric distribution company serving 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2 million customers I would like to ta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the opportunity to express our concerns with some of the legislation currently before the Committee 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with the energy efficiency programs administered by the Commonwealth's gas and electric utilities.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665505226481"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H.2</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86, An Act relative to further reducing energy use by encouraging investments in energy efficiency,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S.1793, An Act relative to an energy pilot program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97560975609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H.2886 and S.1793 would require utilities to run a self-direct pilot for our 10 largest electric and gas cu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stomers as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of our next 3-year energy efficiency plans. A pilo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this was offered in 2013 - 2015 as a result of previous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legislation. These pilot efforts showed that desired results were not produced as a consequence of making this self-directed effort available to eligible customers. Customers required significant assistance from their utility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company to explore energy efficiency opportunities and energy efficiency investments by these customers fell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of the savings expected. In some cases, el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gible customers who initially elected to participate in the pilot have requested dropping out of the pilot to participate in energy efficiency services in the more traditional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Another pilot is not needed to test out a self-direct approach. For these reasons, we respectfully request that the Committee place this legislation into a study order.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45296167247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S.1761, An Act relative to home energy efficiency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49825783972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S.1761 has the potential to 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gnificantly increase the number of required home energy audits, without the recipients utilizing the incentives contained in the existing programs. If the number of audits is increased, it will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in significantly higher costs without commensurate savings, impacting the energy efficiency budgets. National Grid would welcome the opportunity to work with the Committee to increase the opportunities 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expanded audits that would complement the existing programs.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745762711864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74</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An Act fueling job creation through energy efficiency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254237288135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would create Property Assessed Clean Energy (PACE) financing for non</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residential customers. The bill calls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automatic approval for projects el</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gible for funding in utility EE programs and encourages participation in those efforts. Other states and municipalities have attempted to encourage clean energy investments by using PACE with little affect. In MA, the Mass Bankers Association is engaged to provide financing for EE investments (not a lot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activity though) and it isn't clear if PACE would take the place of the private market or if it would lead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clean energy investments. It's not clear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benefits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would exceed costs unless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assessm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 is completed. 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reasons,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respectfully request that the Committee place this legislation into a study order.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11864406779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1771,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 Act promoting zero net-energy buildings in the Commonwealth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627118644067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require zero net energy (ZNET) to become code for residential construction 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and for C&amp;I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construction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This bill does not consider the costs associated with this directive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would su</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 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potential change to code get considered by the BBRS including consideration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enefits and costs rather than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making it a statutory requirement. For these reasons, we respectfully request that the Committee place this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legislation into a study order.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59322033898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S.1753, An Act relative to affordable housing energy efficiency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322033898305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S.1753 calls for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creation of multifamily low and moderate income rental housing energy efficiency. This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already a focus of existing energy efficiency programs. This bill would create competing programs and would lead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consumer confusion. For these reasons, we respectfully request that the Committee place this legislation into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order.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59322033898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S.1749, An Act requiring the disclosure of energy usage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254237288135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S.1749 proposes to make building use history available to the public for all except customers who opt out. Currently, this building use information is considered to be co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idential and customer authorization is required before the information can be shared. Given that building use information can provide intell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ence that a homeowner or business may not want to share, the current process where a customer can authorize this sharing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should be maintained and this 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should be defeated. The status quo is, in effect, an opt-in opportunity that should be maintained. For these reasons, we respectfully request that the Committee place this legislation into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order.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491525423728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H.2912, An Act relative to capturing cost-effective energy savings for Massachusetts customers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508474576271"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H.2912 would require a technical potential study as part of the 3-year energy efficiency planning process. Given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technical potential studies require as much art as science, completing studies like this every 3 years would likely add administrative expenses to the energy efficiency effort without creating any added value for consumers.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we respectfully request that the Committee place this legislation into a study order.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 w:line="276" w:lineRule="auto"/>
        <w:ind w:left="-105.60000000000002" w:right="-830.399999999999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H.2909, An Act further promoting energy efficiency and green jobs, and S.1766, An Act further promoting energy efficiency and green jobs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34.39999999999998" w:right="-844.8000000000002" w:firstLine="148.7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H.2909 and S.1766 propose to create an oil energy efficiency charge. These bills should be amended to make it the responsibility of electric PAs to administer oil related services. There is no need to bid out those services. It's not clear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these bills would lead to an increase in the energy efficiency services provided to residential customers given the fuel blind nature of current services. If oil related energy efficiency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 limited to the funding provided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the oil surcharge, it's possible that less would be getting done. Before considering passage of this bill,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ssment should be completed to determine if the proposed charge on oil would be sufficient to fund needed services. For these reasons, we respectfully request that the Committee place this legislation into a study order.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39.19999999999987" w:right="3081.5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H.2889, An Act promoting residential energy efficiency improvements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58.40000000000003" w:right="-78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H.2889 proposes to create a residential PACE financing program. This bill does not require or give preference to consumers who participate in utility energy efficiency programs. In addition, the HEAT Loan program currently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needed financing for energy efficiency investments in homes in collaboration with local banks. PACE isn't really needed to support residential energy efficiency effo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ts. For these reasons, we respectfully request that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Committee place this legislation into a study order.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39.19999999999987" w:right="46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H.2857, An Act relative to energy efficiency education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67.99999999999997" w:right="-609.6000000000004" w:firstLine="182.3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H.2857 mandates education and training for commercial building managers and operators through the Building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 Certification (BOC) Program. National Grid already provides BOC training through our energy efficiency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 services, and expanding this program appears to be duplicative. Fo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reasons, we respectfully request that the Committee place this legislation into a study order.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63.19999999999993" w:right="-787.2000000000003" w:firstLine="182.3999999999999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 you for allowing me the opportunity to comment on these bills. If you have any questions, or would like any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ditional information, please contact me at 617-263-3380.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77.60000000000005" w:right="87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8558.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foule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72.7999999999997" w:right="7641.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8059.2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Jo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seph Newman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526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Government Affairs - Massachusetts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