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0"/>
          <w:szCs w:val="40"/>
        </w:rPr>
        <w:t xml:space="preserve">Malware Analysis Case Studies</w:t>
      </w:r>
    </w:p>
    <w:p>
      <w:pPr>
        <w:spacing w:after="300"/>
        <w:jc w:val="center"/>
      </w:pPr>
      <w:r>
        <w:rPr>
          <w:i/>
          <w:iCs/>
          <w:color w:val="555555"/>
          <w:sz w:val="26"/>
          <w:szCs w:val="26"/>
        </w:rPr>
        <w:t xml:space="preserve">WannaCry Ransomware and Emotet Banking Trojan</w:t>
      </w:r>
    </w:p>
    <w:p>
      <w:pPr>
        <w:pStyle w:val="Heading1"/>
      </w:pPr>
      <w:r>
        <w:t xml:space="preserve">Case Study 1: WannaCry Ransomware (2017)</w:t>
      </w:r>
    </w:p>
    <w:p>
      <w:pPr>
        <w:pStyle w:val="Heading2"/>
      </w:pPr>
      <w:r>
        <w:t xml:space="preserve">Background</w:t>
      </w:r>
    </w:p>
    <w:p>
      <w:pPr>
        <w:spacing w:after="120"/>
      </w:pPr>
      <w:r>
        <w:t xml:space="preserve">WannaCry was a ransomware worm that spread across the world in May 2017, infecting over 200,000 systems in about 150 countries. It hit organizations such as the UK's NHS, causing serious disruption. It is widely attributed to the Lazarus Group.</w:t>
      </w:r>
    </w:p>
    <w:p>
      <w:pPr>
        <w:pStyle w:val="Heading2"/>
      </w:pPr>
      <w:r>
        <w:t xml:space="preserve">Sample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69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Type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Ransomware with worm capability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File format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Windows PE (32-bit EXE) dropper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Propagation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EternalBlue exploit for SMBv1 (MS17-010), plus the DoublePulsar backdoor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Impact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Encrypted user files (renamed with a .WNCRY extension) and demanded a Bitcoin ransom</w:t>
            </w:r>
          </w:p>
        </w:tc>
      </w:tr>
    </w:tbl>
    <w:p/>
    <w:p>
      <w:pPr>
        <w:pStyle w:val="Heading2"/>
      </w:pPr>
      <w:r>
        <w:t xml:space="preserve">Static Analysis Findings</w:t>
      </w:r>
    </w:p>
    <w:p>
      <w:pPr>
        <w:pStyle w:val="ListParagraph"/>
        <w:numPr>
          <w:ilvl w:val="0"/>
          <w:numId w:val="2"/>
        </w:numPr>
      </w:pPr>
      <w:r>
        <w:rPr>
          <w:b/>
          <w:bCs/>
        </w:rPr>
        <w:t xml:space="preserve">File identification: </w:t>
      </w:r>
      <w:r>
        <w:t xml:space="preserve">The sample is a PE file whose hashes (MD5/SHA-256) were widely published, so VirusTotal lookups show high detection.</w:t>
      </w:r>
    </w:p>
    <w:p>
      <w:pPr>
        <w:pStyle w:val="ListParagraph"/>
        <w:numPr>
          <w:ilvl w:val="0"/>
          <w:numId w:val="2"/>
        </w:numPr>
      </w:pPr>
      <w:r>
        <w:rPr>
          <w:b/>
          <w:bCs/>
        </w:rPr>
        <w:t xml:space="preserve">Strings: </w:t>
      </w:r>
      <w:r>
        <w:t xml:space="preserve">The dropper contains a hard-coded kill-switch domain (a long random-looking URL), the service name mssecsvc2.0, ransom note text and Bitcoin wallet addresses.</w:t>
      </w:r>
    </w:p>
    <w:p>
      <w:pPr>
        <w:pStyle w:val="ListParagraph"/>
        <w:numPr>
          <w:ilvl w:val="0"/>
          <w:numId w:val="2"/>
        </w:numPr>
      </w:pPr>
      <w:r>
        <w:rPr>
          <w:b/>
          <w:bCs/>
        </w:rPr>
        <w:t xml:space="preserve">PE structure: </w:t>
      </w:r>
      <w:r>
        <w:t xml:space="preserve">The .rsrc section is unusually large because it hides an embedded payload (the ransomware component, tasksche.exe), which the dropper extracts at runtime.</w:t>
      </w:r>
    </w:p>
    <w:p>
      <w:pPr>
        <w:pStyle w:val="ListParagraph"/>
        <w:numPr>
          <w:ilvl w:val="0"/>
          <w:numId w:val="2"/>
        </w:numPr>
      </w:pPr>
      <w:r>
        <w:rPr>
          <w:b/>
          <w:bCs/>
        </w:rPr>
        <w:t xml:space="preserve">Imports (APIs): </w:t>
      </w:r>
      <w:r>
        <w:t xml:space="preserve">The imported APIs are summarized in the table below.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API</w:t>
            </w:r>
          </w:p>
        </w:tc>
        <w:tc>
          <w:tcPr>
            <w:tcW w:type="dxa" w:w="57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suggests</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InternetOpenA, InternetOpenUrlA</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Network connection (kill-switch check)</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FindResourceA, LoadResource, LockResource</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Extracting the embedded payload from resources</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CreateServiceA, OpenSCManagerA</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Installing itself as a Windows service (persistence)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CreateFileA, WriteFile, CreateProcessA</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Dropping and launching the payload</w:t>
            </w:r>
          </w:p>
        </w:tc>
      </w:tr>
    </w:tbl>
    <w:p/>
    <w:p>
      <w:pPr>
        <w:pStyle w:val="ListParagraph"/>
        <w:numPr>
          <w:ilvl w:val="0"/>
          <w:numId w:val="2"/>
        </w:numPr>
      </w:pPr>
      <w:r>
        <w:rPr>
          <w:b/>
          <w:bCs/>
        </w:rPr>
        <w:t xml:space="preserve">Disassembly (IDA Free): </w:t>
      </w:r>
      <w:r>
        <w:t xml:space="preserve">The entry logic shows the dropper trying to open the kill-switch URL. If the connection succeeds, it exits. If it fails, it continues to the infection routine. This explains how researcher Marcus Hutchins stopped the outbreak by registering the domain.</w:t>
      </w:r>
    </w:p>
    <w:p>
      <w:pPr>
        <w:pStyle w:val="Heading2"/>
      </w:pPr>
      <w:r>
        <w:t xml:space="preserve">Key Lessons</w:t>
      </w:r>
    </w:p>
    <w:p>
      <w:pPr>
        <w:pStyle w:val="ListParagraph"/>
        <w:numPr>
          <w:ilvl w:val="0"/>
          <w:numId w:val="3"/>
        </w:numPr>
      </w:pPr>
      <w:r>
        <w:t xml:space="preserve">Embedded resources are a common way to hide a second-stage payload.</w:t>
      </w:r>
    </w:p>
    <w:p>
      <w:pPr>
        <w:pStyle w:val="ListParagraph"/>
        <w:numPr>
          <w:ilvl w:val="0"/>
          <w:numId w:val="3"/>
        </w:numPr>
      </w:pPr>
      <w:r>
        <w:t xml:space="preserve">Static analysis can find a kill switch without executing the sample.</w:t>
      </w:r>
    </w:p>
    <w:p>
      <w:pPr>
        <w:pStyle w:val="ListParagraph"/>
        <w:numPr>
          <w:ilvl w:val="0"/>
          <w:numId w:val="3"/>
        </w:numPr>
      </w:pPr>
      <w:r>
        <w:t xml:space="preserve">The import table gives a fast behavioral summary (network, service creation, resource extraction).</w:t>
      </w:r>
    </w:p>
    <w:p>
      <w:pPr>
        <w:pStyle w:val="ListParagraph"/>
        <w:numPr>
          <w:ilvl w:val="0"/>
          <w:numId w:val="3"/>
        </w:numPr>
      </w:pPr>
      <w:r>
        <w:t xml:space="preserve">Patching known vulnerabilities (MS17-010) would have prevented the spread.</w:t>
      </w:r>
    </w:p>
    <w:p>
      <w:pPr>
        <w:spacing w:after="120"/>
      </w:pPr>
      <w:r>
        <w:rPr>
          <w:b/>
          <w:bCs/>
        </w:rPr>
        <w:t xml:space="preserve">Mapping to practicals: </w:t>
      </w:r>
      <w:r>
        <w:t xml:space="preserve">Static analysis (2), PE structure and .rsrc section (3), assembly reading of the kill-switch logic (4), API identification (5).</w:t>
      </w:r>
    </w:p>
    <w:p>
      <w:r>
        <w:br w:type="page"/>
      </w:r>
    </w:p>
    <w:p>
      <w:pPr>
        <w:pStyle w:val="Heading1"/>
      </w:pPr>
      <w:r>
        <w:t xml:space="preserve">Case Study 2: Emotet Banking Trojan and Loader (2014–2021)</w:t>
      </w:r>
    </w:p>
    <w:p>
      <w:pPr>
        <w:pStyle w:val="Heading2"/>
      </w:pPr>
      <w:r>
        <w:t xml:space="preserve">Background</w:t>
      </w:r>
    </w:p>
    <w:p>
      <w:pPr>
        <w:spacing w:after="120"/>
      </w:pPr>
      <w:r>
        <w:t xml:space="preserve">Emotet began as a banking trojan in 2014 and evolved into one of the most dangerous malware-as-a-service botnets. Infected machines were rented out to other criminals to deliver payloads such as TrickBot, QakBot and Ryuk ransomware. Europol and partner agencies took down its infrastructure in January 2021, though it reappeared in late 2021.</w:t>
      </w:r>
    </w:p>
    <w:p>
      <w:pPr>
        <w:pStyle w:val="Heading2"/>
      </w:pPr>
      <w:r>
        <w:t xml:space="preserve">Sample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69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Type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Trojan, botnet and malware loader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Delivery</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Phishing emails with malicious Word/Excel attachments containing macros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File formats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Office document (OLE/OOXML) as the first stage, then a PE DLL/EXE as the second stage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Persistence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Registry Run keys or Windows services</w:t>
            </w:r>
          </w:p>
        </w:tc>
      </w:tr>
    </w:tbl>
    <w:p/>
    <w:p>
      <w:pPr>
        <w:pStyle w:val="Heading2"/>
      </w:pPr>
      <w:r>
        <w:t xml:space="preserve">Static Analysis Findings</w:t>
      </w:r>
    </w:p>
    <w:p>
      <w:pPr>
        <w:pStyle w:val="ListParagraph"/>
        <w:numPr>
          <w:ilvl w:val="0"/>
          <w:numId w:val="4"/>
        </w:numPr>
      </w:pPr>
      <w:r>
        <w:rPr>
          <w:b/>
          <w:bCs/>
        </w:rPr>
        <w:t xml:space="preserve">Stage 1, the document: </w:t>
      </w:r>
      <w:r>
        <w:t xml:space="preserve">Tools such as olevba or oledump reveal heavily obfuscated VBA macros that build and run a PowerShell command, often Base64-encoded, to download the next stage.</w:t>
      </w:r>
    </w:p>
    <w:p>
      <w:pPr>
        <w:pStyle w:val="ListParagraph"/>
        <w:numPr>
          <w:ilvl w:val="0"/>
          <w:numId w:val="4"/>
        </w:numPr>
      </w:pPr>
      <w:r>
        <w:rPr>
          <w:b/>
          <w:bCs/>
        </w:rPr>
        <w:t xml:space="preserve">Stage 2, the PE file:</w:t>
      </w:r>
      <w:r>
        <w:t xml:space="preserve"/>
      </w:r>
    </w:p>
    <w:p>
      <w:pPr>
        <w:pStyle w:val="ListParagraph"/>
        <w:numPr>
          <w:ilvl w:val="0"/>
          <w:numId w:val="5"/>
        </w:numPr>
      </w:pPr>
      <w:r>
        <w:t xml:space="preserve">High-entropy sections indicate packing or encryption.</w:t>
      </w:r>
    </w:p>
    <w:p>
      <w:pPr>
        <w:pStyle w:val="ListParagraph"/>
        <w:numPr>
          <w:ilvl w:val="0"/>
          <w:numId w:val="5"/>
        </w:numPr>
      </w:pPr>
      <w:r>
        <w:t xml:space="preserve">A sparse import table, with mostly LoadLibrary and GetProcAddress, shows that APIs are resolved dynamically at runtime to evade static detection.</w:t>
      </w:r>
    </w:p>
    <w:p>
      <w:pPr>
        <w:pStyle w:val="ListParagraph"/>
        <w:numPr>
          <w:ilvl w:val="0"/>
          <w:numId w:val="5"/>
        </w:numPr>
      </w:pPr>
      <w:r>
        <w:t xml:space="preserve">Meaningful strings are scarce because most are encrypted.</w:t>
      </w:r>
    </w:p>
    <w:p>
      <w:pPr>
        <w:pStyle w:val="ListParagraph"/>
        <w:numPr>
          <w:ilvl w:val="0"/>
          <w:numId w:val="4"/>
        </w:numPr>
      </w:pPr>
      <w:r>
        <w:rPr>
          <w:b/>
          <w:bCs/>
        </w:rPr>
        <w:t xml:space="preserve">Suspicious APIs: </w:t>
      </w:r>
      <w:r>
        <w:t xml:space="preserve">Once resolved, the suspicious APIs are summarized in the table below.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API</w:t>
            </w:r>
          </w:p>
        </w:tc>
        <w:tc>
          <w:tcPr>
            <w:tcW w:type="dxa" w:w="57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suggests</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VirtualAlloc, VirtualProtect, WriteProcessMemory</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Unpacking and injecting code in memory</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InternetConnect, HttpSendRequest, WinHttp*</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Communication with command-and-control (C2) servers</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RegSetValueEx, CreateService</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Persistence</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CryptEncrypt, CryptDecrypt</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Encrypted C2 traffic or configuration</w:t>
            </w:r>
          </w:p>
        </w:tc>
      </w:tr>
    </w:tbl>
    <w:p/>
    <w:p>
      <w:pPr>
        <w:pStyle w:val="ListParagraph"/>
        <w:numPr>
          <w:ilvl w:val="0"/>
          <w:numId w:val="4"/>
        </w:numPr>
      </w:pPr>
      <w:r>
        <w:rPr>
          <w:b/>
          <w:bCs/>
        </w:rPr>
        <w:t xml:space="preserve">Disassembly (IDA Free): </w:t>
      </w:r>
      <w:r>
        <w:t xml:space="preserve">Loops with XOR or similar routines indicate string and configuration decryption, and the list of C2 IP addresses is stored encrypted inside the binary.</w:t>
      </w:r>
    </w:p>
    <w:p>
      <w:pPr>
        <w:pStyle w:val="Heading2"/>
      </w:pPr>
      <w:r>
        <w:t xml:space="preserve">Key Lessons</w:t>
      </w:r>
    </w:p>
    <w:p>
      <w:pPr>
        <w:pStyle w:val="ListParagraph"/>
        <w:numPr>
          <w:ilvl w:val="0"/>
          <w:numId w:val="3"/>
        </w:numPr>
      </w:pPr>
      <w:r>
        <w:t xml:space="preserve">Modern malware is multi-stage, so analysts must examine both the document and the executable.</w:t>
      </w:r>
    </w:p>
    <w:p>
      <w:pPr>
        <w:pStyle w:val="ListParagraph"/>
        <w:numPr>
          <w:ilvl w:val="0"/>
          <w:numId w:val="3"/>
        </w:numPr>
      </w:pPr>
      <w:r>
        <w:t xml:space="preserve">A small import table combined with high entropy is a strong sign of packing.</w:t>
      </w:r>
    </w:p>
    <w:p>
      <w:pPr>
        <w:pStyle w:val="ListParagraph"/>
        <w:numPr>
          <w:ilvl w:val="0"/>
          <w:numId w:val="3"/>
        </w:numPr>
      </w:pPr>
      <w:r>
        <w:t xml:space="preserve">Static analysis alone may not reveal everything, so it is often combined with dynamic analysis (sandbox) and memory analysis.</w:t>
      </w:r>
    </w:p>
    <w:p>
      <w:pPr>
        <w:pStyle w:val="ListParagraph"/>
        <w:numPr>
          <w:ilvl w:val="0"/>
          <w:numId w:val="3"/>
        </w:numPr>
      </w:pPr>
      <w:r>
        <w:t xml:space="preserve">Defenses include disabling Office macros, email filtering and user awareness training.</w:t>
      </w:r>
    </w:p>
    <w:p>
      <w:pPr>
        <w:spacing w:after="120"/>
      </w:pPr>
      <w:r>
        <w:rPr>
          <w:b/>
          <w:bCs/>
        </w:rPr>
        <w:t xml:space="preserve">Mapping to practicals: </w:t>
      </w:r>
      <w:r>
        <w:t xml:space="preserve">Static analysis (2), PE structure and entropy (3), decryption routines in assembly (4), dynamic API resolution (5).</w:t>
      </w:r>
    </w:p>
    <w:p>
      <w:pPr>
        <w:pStyle w:val="Heading1"/>
      </w:pPr>
      <w:r>
        <w:t xml:space="preserve">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358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WannaCry</w:t>
            </w:r>
          </w:p>
        </w:tc>
        <w:tc>
          <w:tcPr>
            <w:tcW w:type="dxa" w:w="358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Emotet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Category</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Ransomware worm</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Trojan, loader, botnet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Infection vector</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SMB vulnerability (EternalBlue)</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Phishing with macro documents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Main goal</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Extortion</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Data theft and delivering other malware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Static clues</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Large .rsrc, kill-switch URL, service APIs</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Obfuscated macros, packed PE, dynamic API resolution</w:t>
            </w:r>
          </w:p>
        </w:tc>
      </w:tr>
    </w:tbl>
    <w:p/>
    <w:p>
      <w:pPr>
        <w:spacing w:after="120"/>
      </w:pPr>
      <w:r>
        <w:rPr>
          <w:b/>
          <w:bCs/>
        </w:rPr>
        <w:t xml:space="preserve">Safety note: </w:t>
      </w:r>
      <w:r>
        <w:t xml:space="preserve">Analyze real samples only inside an isolated virtual machine with networking disabled or host-only, and take a snapshot before starting.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2026-10-27T06:12:38.022Z</dcterms:created>
  <dcterms:modified xsi:type="dcterms:W3CDTF">2026-10-27T06:12:38.032Z</dcterms:modified>
</cp:coreProperties>
</file>

<file path=docProps/custom.xml><?xml version="1.0" encoding="utf-8"?>
<Properties xmlns="http://schemas.openxmlformats.org/officeDocument/2006/custom-properties" xmlns:vt="http://schemas.openxmlformats.org/officeDocument/2006/docPropsVTypes"/>
</file>