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DF3D" w14:textId="77777777" w:rsidR="00E04867" w:rsidRDefault="00000000">
      <w:pPr>
        <w:pStyle w:val="1"/>
        <w:spacing w:beforeLines="0" w:afterLines="0" w:line="240" w:lineRule="auto"/>
        <w:jc w:val="center"/>
        <w:rPr>
          <w:rFonts w:ascii="楷体" w:eastAsia="楷体" w:hAnsi="楷体" w:hint="eastAsia"/>
          <w:b/>
          <w:color w:val="0070C0"/>
          <w:sz w:val="32"/>
          <w14:textFill>
            <w14:solidFill>
              <w14:srgbClr w14:val="0070C0">
                <w14:lumMod w14:val="85000"/>
                <w14:lumOff w14:val="15000"/>
              </w14:srgbClr>
            </w14:solidFill>
          </w14:textFill>
        </w:rPr>
      </w:pPr>
      <w:bookmarkStart w:id="0" w:name="_Toc529117748"/>
      <w:bookmarkStart w:id="1" w:name="_Hlk102548603"/>
      <w:r>
        <w:rPr>
          <w:rFonts w:ascii="楷体" w:eastAsia="楷体" w:hAnsi="楷体" w:hint="eastAsia"/>
          <w:b/>
          <w:color w:val="0070C0"/>
          <w:sz w:val="32"/>
          <w14:textFill>
            <w14:solidFill>
              <w14:srgbClr w14:val="0070C0">
                <w14:lumMod w14:val="85000"/>
                <w14:lumOff w14:val="15000"/>
              </w14:srgbClr>
            </w14:solidFill>
          </w14:textFill>
        </w:rPr>
        <w:t>本周市场点评</w:t>
      </w:r>
    </w:p>
    <w:bookmarkEnd w:id="0"/>
    <w:p w14:paraId="63541959" w14:textId="77777777" w:rsidR="00E04867" w:rsidRDefault="00000000">
      <w:pPr>
        <w:pStyle w:val="3"/>
        <w:numPr>
          <w:ilvl w:val="0"/>
          <w:numId w:val="0"/>
        </w:numPr>
        <w:rPr>
          <w:rFonts w:cs="Arial"/>
        </w:rPr>
      </w:pPr>
      <w:r>
        <w:rPr>
          <w:rFonts w:asciiTheme="minorEastAsia" w:eastAsiaTheme="minorEastAsia" w:hAnsiTheme="minorEastAsia" w:cs="Arial" w:hint="eastAsia"/>
          <w:szCs w:val="20"/>
        </w:rPr>
        <w:t>1</w:t>
      </w:r>
      <w:r>
        <w:rPr>
          <w:rFonts w:asciiTheme="minorEastAsia" w:eastAsiaTheme="minorEastAsia" w:hAnsiTheme="minorEastAsia" w:cs="Arial"/>
          <w:szCs w:val="20"/>
        </w:rPr>
        <w:t>.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国内行情回顾</w:t>
      </w:r>
      <w:r>
        <w:rPr>
          <w:rFonts w:cs="Arial" w:hint="eastAsia"/>
          <w:sz w:val="24"/>
        </w:rPr>
        <w:t>：</w:t>
      </w:r>
    </w:p>
    <w:p w14:paraId="7FE192F1" w14:textId="6360A698" w:rsidR="00EC610B" w:rsidRPr="00EC610B" w:rsidRDefault="00000000" w:rsidP="00EC610B">
      <w:pPr>
        <w:pStyle w:val="1"/>
        <w:spacing w:before="156" w:after="156"/>
        <w:rPr>
          <w:rFonts w:cs="Arial" w:hint="eastAsia"/>
          <w:color w:val="262626" w:themeColor="text1" w:themeTint="D9"/>
          <w:szCs w:val="20"/>
        </w:rPr>
      </w:pPr>
      <w:bookmarkStart w:id="2" w:name="_Hlk116127010"/>
      <w:r>
        <w:rPr>
          <w:rFonts w:cs="Arial"/>
          <w:b/>
          <w:bCs/>
          <w:color w:val="262626" w:themeColor="text1" w:themeTint="D9"/>
          <w:szCs w:val="20"/>
        </w:rPr>
        <w:t>1</w:t>
      </w:r>
      <w:r>
        <w:rPr>
          <w:rFonts w:cs="Arial"/>
          <w:b/>
          <w:bCs/>
          <w:color w:val="262626" w:themeColor="text1" w:themeTint="D9"/>
          <w:szCs w:val="20"/>
        </w:rPr>
        <w:t>、本周回顾：</w:t>
      </w:r>
      <w:r w:rsidR="00EC610B" w:rsidRPr="00EC610B">
        <w:rPr>
          <w:rFonts w:cs="Arial" w:hint="eastAsia"/>
          <w:color w:val="262626" w:themeColor="text1" w:themeTint="D9"/>
          <w:szCs w:val="20"/>
        </w:rPr>
        <w:t>本周市场整体呈现上涨态势，多数主要指数表现良好。其中，创业板指</w:t>
      </w:r>
      <w:proofErr w:type="gramStart"/>
      <w:r w:rsidR="00EC610B" w:rsidRPr="00EC610B">
        <w:rPr>
          <w:rFonts w:cs="Arial" w:hint="eastAsia"/>
          <w:color w:val="262626" w:themeColor="text1" w:themeTint="D9"/>
          <w:szCs w:val="20"/>
        </w:rPr>
        <w:t>和科创</w:t>
      </w:r>
      <w:proofErr w:type="gramEnd"/>
      <w:r w:rsidR="00EC610B" w:rsidRPr="00EC610B">
        <w:rPr>
          <w:rFonts w:cs="Arial" w:hint="eastAsia"/>
          <w:color w:val="262626" w:themeColor="text1" w:themeTint="D9"/>
          <w:szCs w:val="20"/>
        </w:rPr>
        <w:t>50</w:t>
      </w:r>
      <w:r w:rsidR="00EC610B" w:rsidRPr="00EC610B">
        <w:rPr>
          <w:rFonts w:cs="Arial" w:hint="eastAsia"/>
          <w:color w:val="262626" w:themeColor="text1" w:themeTint="D9"/>
          <w:szCs w:val="20"/>
        </w:rPr>
        <w:t>分别录得</w:t>
      </w:r>
      <w:r w:rsidR="00EC610B" w:rsidRPr="00EC610B">
        <w:rPr>
          <w:rFonts w:cs="Arial" w:hint="eastAsia"/>
          <w:color w:val="262626" w:themeColor="text1" w:themeTint="D9"/>
          <w:szCs w:val="20"/>
        </w:rPr>
        <w:t>9.32%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9.14%</w:t>
      </w:r>
      <w:r w:rsidR="00EC610B" w:rsidRPr="00EC610B">
        <w:rPr>
          <w:rFonts w:cs="Arial" w:hint="eastAsia"/>
          <w:color w:val="262626" w:themeColor="text1" w:themeTint="D9"/>
          <w:szCs w:val="20"/>
        </w:rPr>
        <w:t>的涨幅，领跑各大指数；中证</w:t>
      </w:r>
      <w:r w:rsidR="00EC610B" w:rsidRPr="00EC610B">
        <w:rPr>
          <w:rFonts w:cs="Arial" w:hint="eastAsia"/>
          <w:color w:val="262626" w:themeColor="text1" w:themeTint="D9"/>
          <w:szCs w:val="20"/>
        </w:rPr>
        <w:t>1000</w:t>
      </w:r>
      <w:r w:rsidR="00EC610B" w:rsidRPr="00EC610B">
        <w:rPr>
          <w:rFonts w:cs="Arial" w:hint="eastAsia"/>
          <w:color w:val="262626" w:themeColor="text1" w:themeTint="D9"/>
          <w:szCs w:val="20"/>
        </w:rPr>
        <w:t>和万得全</w:t>
      </w:r>
      <w:r w:rsidR="00EC610B" w:rsidRPr="00EC610B">
        <w:rPr>
          <w:rFonts w:cs="Arial" w:hint="eastAsia"/>
          <w:color w:val="262626" w:themeColor="text1" w:themeTint="D9"/>
          <w:szCs w:val="20"/>
        </w:rPr>
        <w:t>A</w:t>
      </w:r>
      <w:r w:rsidR="00EC610B" w:rsidRPr="00EC610B">
        <w:rPr>
          <w:rFonts w:cs="Arial" w:hint="eastAsia"/>
          <w:color w:val="262626" w:themeColor="text1" w:themeTint="D9"/>
          <w:szCs w:val="20"/>
        </w:rPr>
        <w:t>分别上涨</w:t>
      </w:r>
      <w:r w:rsidR="00EC610B" w:rsidRPr="00EC610B">
        <w:rPr>
          <w:rFonts w:cs="Arial" w:hint="eastAsia"/>
          <w:color w:val="262626" w:themeColor="text1" w:themeTint="D9"/>
          <w:szCs w:val="20"/>
        </w:rPr>
        <w:t>8.31%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7.11%</w:t>
      </w:r>
      <w:r w:rsidR="00EC610B" w:rsidRPr="00EC610B">
        <w:rPr>
          <w:rFonts w:cs="Arial" w:hint="eastAsia"/>
          <w:color w:val="262626" w:themeColor="text1" w:themeTint="D9"/>
          <w:szCs w:val="20"/>
        </w:rPr>
        <w:t>，表现也较为强劲。上证综指和沪深</w:t>
      </w:r>
      <w:r w:rsidR="00EC610B" w:rsidRPr="00EC610B">
        <w:rPr>
          <w:rFonts w:cs="Arial" w:hint="eastAsia"/>
          <w:color w:val="262626" w:themeColor="text1" w:themeTint="D9"/>
          <w:szCs w:val="20"/>
        </w:rPr>
        <w:t>300</w:t>
      </w:r>
      <w:r w:rsidR="00EC610B" w:rsidRPr="00EC610B">
        <w:rPr>
          <w:rFonts w:cs="Arial" w:hint="eastAsia"/>
          <w:color w:val="262626" w:themeColor="text1" w:themeTint="D9"/>
          <w:szCs w:val="20"/>
        </w:rPr>
        <w:t>相对涨幅较小，分别为</w:t>
      </w:r>
      <w:r w:rsidR="00EC610B" w:rsidRPr="00EC610B">
        <w:rPr>
          <w:rFonts w:cs="Arial" w:hint="eastAsia"/>
          <w:color w:val="262626" w:themeColor="text1" w:themeTint="D9"/>
          <w:szCs w:val="20"/>
        </w:rPr>
        <w:t>5.51%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5.50%</w:t>
      </w:r>
      <w:r w:rsidR="00EC610B" w:rsidRPr="00EC610B">
        <w:rPr>
          <w:rFonts w:cs="Arial" w:hint="eastAsia"/>
          <w:color w:val="262626" w:themeColor="text1" w:themeTint="D9"/>
          <w:szCs w:val="20"/>
        </w:rPr>
        <w:t>。从风格层面来看，成长板块表现突出，上涨</w:t>
      </w:r>
      <w:r w:rsidR="00EC610B" w:rsidRPr="00EC610B">
        <w:rPr>
          <w:rFonts w:cs="Arial" w:hint="eastAsia"/>
          <w:color w:val="262626" w:themeColor="text1" w:themeTint="D9"/>
          <w:szCs w:val="20"/>
        </w:rPr>
        <w:t>9.29%</w:t>
      </w:r>
      <w:r w:rsidR="00EC610B" w:rsidRPr="00EC610B">
        <w:rPr>
          <w:rFonts w:cs="Arial" w:hint="eastAsia"/>
          <w:color w:val="262626" w:themeColor="text1" w:themeTint="D9"/>
          <w:szCs w:val="20"/>
        </w:rPr>
        <w:t>；金融和消费板块也实现较大增幅，分别上涨</w:t>
      </w:r>
      <w:r w:rsidR="00EC610B" w:rsidRPr="00EC610B">
        <w:rPr>
          <w:rFonts w:cs="Arial" w:hint="eastAsia"/>
          <w:color w:val="262626" w:themeColor="text1" w:themeTint="D9"/>
          <w:szCs w:val="20"/>
        </w:rPr>
        <w:t>6.87%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6.33%</w:t>
      </w:r>
      <w:r w:rsidR="00EC610B" w:rsidRPr="00EC610B">
        <w:rPr>
          <w:rFonts w:cs="Arial" w:hint="eastAsia"/>
          <w:color w:val="262626" w:themeColor="text1" w:themeTint="D9"/>
          <w:szCs w:val="20"/>
        </w:rPr>
        <w:t>，而稳定板块涨幅较小，仅为</w:t>
      </w:r>
      <w:r w:rsidR="00EC610B" w:rsidRPr="00EC610B">
        <w:rPr>
          <w:rFonts w:cs="Arial" w:hint="eastAsia"/>
          <w:color w:val="262626" w:themeColor="text1" w:themeTint="D9"/>
          <w:szCs w:val="20"/>
        </w:rPr>
        <w:t>2.69%</w:t>
      </w:r>
      <w:r w:rsidR="00EC610B" w:rsidRPr="00EC610B">
        <w:rPr>
          <w:rFonts w:cs="Arial" w:hint="eastAsia"/>
          <w:color w:val="262626" w:themeColor="text1" w:themeTint="D9"/>
          <w:szCs w:val="20"/>
        </w:rPr>
        <w:t>。行业方面，计算机板块表现最为亮眼，录得</w:t>
      </w:r>
      <w:r w:rsidR="00EC610B" w:rsidRPr="00EC610B">
        <w:rPr>
          <w:rFonts w:cs="Arial" w:hint="eastAsia"/>
          <w:color w:val="262626" w:themeColor="text1" w:themeTint="D9"/>
          <w:szCs w:val="20"/>
        </w:rPr>
        <w:t>14.41%</w:t>
      </w:r>
      <w:r w:rsidR="00EC610B" w:rsidRPr="00EC610B">
        <w:rPr>
          <w:rFonts w:cs="Arial" w:hint="eastAsia"/>
          <w:color w:val="262626" w:themeColor="text1" w:themeTint="D9"/>
          <w:szCs w:val="20"/>
        </w:rPr>
        <w:t>的涨幅，成为本周表现最佳的行业；国防军工和非</w:t>
      </w:r>
      <w:proofErr w:type="gramStart"/>
      <w:r w:rsidR="00EC610B" w:rsidRPr="00EC610B">
        <w:rPr>
          <w:rFonts w:cs="Arial" w:hint="eastAsia"/>
          <w:color w:val="262626" w:themeColor="text1" w:themeTint="D9"/>
          <w:szCs w:val="20"/>
        </w:rPr>
        <w:t>银金融</w:t>
      </w:r>
      <w:proofErr w:type="gramEnd"/>
      <w:r w:rsidR="00EC610B" w:rsidRPr="00EC610B">
        <w:rPr>
          <w:rFonts w:cs="Arial" w:hint="eastAsia"/>
          <w:color w:val="262626" w:themeColor="text1" w:themeTint="D9"/>
          <w:szCs w:val="20"/>
        </w:rPr>
        <w:t>板块分别上涨</w:t>
      </w:r>
      <w:r w:rsidR="00EC610B" w:rsidRPr="00EC610B">
        <w:rPr>
          <w:rFonts w:cs="Arial" w:hint="eastAsia"/>
          <w:color w:val="262626" w:themeColor="text1" w:themeTint="D9"/>
          <w:szCs w:val="20"/>
        </w:rPr>
        <w:t>12.23%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12.00%</w:t>
      </w:r>
      <w:r w:rsidR="00EC610B" w:rsidRPr="00EC610B">
        <w:rPr>
          <w:rFonts w:cs="Arial" w:hint="eastAsia"/>
          <w:color w:val="262626" w:themeColor="text1" w:themeTint="D9"/>
          <w:szCs w:val="20"/>
        </w:rPr>
        <w:t>，紧随其后。商贸零售和电子板块也表现良好，分别上涨</w:t>
      </w:r>
      <w:r w:rsidR="00EC610B" w:rsidRPr="00EC610B">
        <w:rPr>
          <w:rFonts w:cs="Arial" w:hint="eastAsia"/>
          <w:color w:val="262626" w:themeColor="text1" w:themeTint="D9"/>
          <w:szCs w:val="20"/>
        </w:rPr>
        <w:t>10.51%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9.36%</w:t>
      </w:r>
      <w:r w:rsidR="00EC610B" w:rsidRPr="00EC610B">
        <w:rPr>
          <w:rFonts w:cs="Arial" w:hint="eastAsia"/>
          <w:color w:val="262626" w:themeColor="text1" w:themeTint="D9"/>
          <w:szCs w:val="20"/>
        </w:rPr>
        <w:t>。此外，机械设备、轻工制造、汽车等行业均有较为明显的涨幅，涨幅在</w:t>
      </w:r>
      <w:r w:rsidR="00EC610B" w:rsidRPr="00EC610B">
        <w:rPr>
          <w:rFonts w:cs="Arial" w:hint="eastAsia"/>
          <w:color w:val="262626" w:themeColor="text1" w:themeTint="D9"/>
          <w:szCs w:val="20"/>
        </w:rPr>
        <w:t>7%</w:t>
      </w:r>
      <w:r w:rsidR="00EC610B" w:rsidRPr="00EC610B">
        <w:rPr>
          <w:rFonts w:cs="Arial" w:hint="eastAsia"/>
          <w:color w:val="262626" w:themeColor="text1" w:themeTint="D9"/>
          <w:szCs w:val="20"/>
        </w:rPr>
        <w:t>以上。相比之下，银行和煤炭等板块涨幅较小，分别为</w:t>
      </w:r>
      <w:r w:rsidR="00EC610B" w:rsidRPr="00EC610B">
        <w:rPr>
          <w:rFonts w:cs="Arial" w:hint="eastAsia"/>
          <w:color w:val="262626" w:themeColor="text1" w:themeTint="D9"/>
          <w:szCs w:val="20"/>
        </w:rPr>
        <w:t>1.37%</w:t>
      </w:r>
      <w:r w:rsidR="00EC610B" w:rsidRPr="00EC610B">
        <w:rPr>
          <w:rFonts w:cs="Arial" w:hint="eastAsia"/>
          <w:color w:val="262626" w:themeColor="text1" w:themeTint="D9"/>
          <w:szCs w:val="20"/>
        </w:rPr>
        <w:t>和</w:t>
      </w:r>
      <w:r w:rsidR="00EC610B" w:rsidRPr="00EC610B">
        <w:rPr>
          <w:rFonts w:cs="Arial" w:hint="eastAsia"/>
          <w:color w:val="262626" w:themeColor="text1" w:themeTint="D9"/>
          <w:szCs w:val="20"/>
        </w:rPr>
        <w:t>1.96%</w:t>
      </w:r>
      <w:r w:rsidR="00EC610B" w:rsidRPr="00EC610B">
        <w:rPr>
          <w:rFonts w:cs="Arial" w:hint="eastAsia"/>
          <w:color w:val="262626" w:themeColor="text1" w:themeTint="D9"/>
          <w:szCs w:val="20"/>
        </w:rPr>
        <w:t>。总体来看，本周市场整体呈现普遍上涨趋势，尤其是成长风格、计算机、国防军工等行业表现突出，成为市场中的亮点。</w:t>
      </w:r>
    </w:p>
    <w:p w14:paraId="1840D666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r>
        <w:rPr>
          <w:rFonts w:cs="Arial" w:hint="eastAsia"/>
          <w:b/>
          <w:bCs/>
          <w:color w:val="262626" w:themeColor="text1" w:themeTint="D9"/>
          <w:szCs w:val="20"/>
        </w:rPr>
        <w:t>2</w:t>
      </w:r>
      <w:r>
        <w:rPr>
          <w:rFonts w:cs="Arial" w:hint="eastAsia"/>
          <w:b/>
          <w:bCs/>
          <w:color w:val="262626" w:themeColor="text1" w:themeTint="D9"/>
          <w:szCs w:val="20"/>
        </w:rPr>
        <w:t>、国内方面：</w:t>
      </w:r>
      <w:r>
        <w:rPr>
          <w:rFonts w:cs="Arial" w:hint="eastAsia"/>
          <w:color w:val="262626" w:themeColor="text1" w:themeTint="D9"/>
          <w:szCs w:val="20"/>
        </w:rPr>
        <w:t>本周中国经济数据显示出新的韧性。</w:t>
      </w:r>
      <w:r>
        <w:rPr>
          <w:rFonts w:cs="Arial" w:hint="eastAsia"/>
          <w:color w:val="262626" w:themeColor="text1" w:themeTint="D9"/>
          <w:szCs w:val="20"/>
        </w:rPr>
        <w:t>1-9</w:t>
      </w:r>
      <w:r>
        <w:rPr>
          <w:rFonts w:cs="Arial" w:hint="eastAsia"/>
          <w:color w:val="262626" w:themeColor="text1" w:themeTint="D9"/>
          <w:szCs w:val="20"/>
        </w:rPr>
        <w:t>月份，全国规模以上工业企业利润同比下降</w:t>
      </w:r>
      <w:r>
        <w:rPr>
          <w:rFonts w:cs="Arial" w:hint="eastAsia"/>
          <w:color w:val="262626" w:themeColor="text1" w:themeTint="D9"/>
          <w:szCs w:val="20"/>
        </w:rPr>
        <w:t>3.5%</w:t>
      </w:r>
      <w:r>
        <w:rPr>
          <w:rFonts w:cs="Arial" w:hint="eastAsia"/>
          <w:color w:val="262626" w:themeColor="text1" w:themeTint="D9"/>
          <w:szCs w:val="20"/>
        </w:rPr>
        <w:t>，但随着企业预期企稳、信心增强，工业企业效益有望逐步恢复。国有企业方面，</w:t>
      </w:r>
      <w:r>
        <w:rPr>
          <w:rFonts w:cs="Arial" w:hint="eastAsia"/>
          <w:color w:val="262626" w:themeColor="text1" w:themeTint="D9"/>
          <w:szCs w:val="20"/>
        </w:rPr>
        <w:t>1-9</w:t>
      </w:r>
      <w:r>
        <w:rPr>
          <w:rFonts w:cs="Arial" w:hint="eastAsia"/>
          <w:color w:val="262626" w:themeColor="text1" w:themeTint="D9"/>
          <w:szCs w:val="20"/>
        </w:rPr>
        <w:t>月营业总收入同比增长</w:t>
      </w:r>
      <w:r>
        <w:rPr>
          <w:rFonts w:cs="Arial" w:hint="eastAsia"/>
          <w:color w:val="262626" w:themeColor="text1" w:themeTint="D9"/>
          <w:szCs w:val="20"/>
        </w:rPr>
        <w:t>1.2%</w:t>
      </w:r>
      <w:r>
        <w:rPr>
          <w:rFonts w:cs="Arial" w:hint="eastAsia"/>
          <w:color w:val="262626" w:themeColor="text1" w:themeTint="D9"/>
          <w:szCs w:val="20"/>
        </w:rPr>
        <w:t>，利润总额下降</w:t>
      </w:r>
      <w:r>
        <w:rPr>
          <w:rFonts w:cs="Arial" w:hint="eastAsia"/>
          <w:color w:val="262626" w:themeColor="text1" w:themeTint="D9"/>
          <w:szCs w:val="20"/>
        </w:rPr>
        <w:t>2.3%</w:t>
      </w:r>
      <w:r>
        <w:rPr>
          <w:rFonts w:cs="Arial" w:hint="eastAsia"/>
          <w:color w:val="262626" w:themeColor="text1" w:themeTint="D9"/>
          <w:szCs w:val="20"/>
        </w:rPr>
        <w:t>。截至</w:t>
      </w:r>
      <w:r>
        <w:rPr>
          <w:rFonts w:cs="Arial" w:hint="eastAsia"/>
          <w:color w:val="262626" w:themeColor="text1" w:themeTint="D9"/>
          <w:szCs w:val="20"/>
        </w:rPr>
        <w:t>10</w:t>
      </w:r>
      <w:r>
        <w:rPr>
          <w:rFonts w:cs="Arial" w:hint="eastAsia"/>
          <w:color w:val="262626" w:themeColor="text1" w:themeTint="D9"/>
          <w:szCs w:val="20"/>
        </w:rPr>
        <w:t>月</w:t>
      </w:r>
      <w:r>
        <w:rPr>
          <w:rFonts w:cs="Arial" w:hint="eastAsia"/>
          <w:color w:val="262626" w:themeColor="text1" w:themeTint="D9"/>
          <w:szCs w:val="20"/>
        </w:rPr>
        <w:t>30</w:t>
      </w:r>
      <w:r>
        <w:rPr>
          <w:rFonts w:cs="Arial" w:hint="eastAsia"/>
          <w:color w:val="262626" w:themeColor="text1" w:themeTint="D9"/>
          <w:szCs w:val="20"/>
        </w:rPr>
        <w:t>日，</w:t>
      </w:r>
      <w:r>
        <w:rPr>
          <w:rFonts w:cs="Arial" w:hint="eastAsia"/>
          <w:color w:val="262626" w:themeColor="text1" w:themeTint="D9"/>
          <w:szCs w:val="20"/>
        </w:rPr>
        <w:t>31</w:t>
      </w:r>
      <w:r>
        <w:rPr>
          <w:rFonts w:cs="Arial" w:hint="eastAsia"/>
          <w:color w:val="262626" w:themeColor="text1" w:themeTint="D9"/>
          <w:szCs w:val="20"/>
        </w:rPr>
        <w:t>个省份公布前三季度经济情况，</w:t>
      </w:r>
      <w:r>
        <w:rPr>
          <w:rFonts w:cs="Arial" w:hint="eastAsia"/>
          <w:color w:val="262626" w:themeColor="text1" w:themeTint="D9"/>
          <w:szCs w:val="20"/>
        </w:rPr>
        <w:t>GDP</w:t>
      </w:r>
      <w:r>
        <w:rPr>
          <w:rFonts w:cs="Arial" w:hint="eastAsia"/>
          <w:color w:val="262626" w:themeColor="text1" w:themeTint="D9"/>
          <w:szCs w:val="20"/>
        </w:rPr>
        <w:t>排名前十的省份中有八个增速超过全国平均</w:t>
      </w:r>
      <w:r>
        <w:rPr>
          <w:rFonts w:cs="Arial" w:hint="eastAsia"/>
          <w:color w:val="262626" w:themeColor="text1" w:themeTint="D9"/>
          <w:szCs w:val="20"/>
        </w:rPr>
        <w:t>4.8%</w:t>
      </w:r>
      <w:r>
        <w:rPr>
          <w:rFonts w:cs="Arial" w:hint="eastAsia"/>
          <w:color w:val="262626" w:themeColor="text1" w:themeTint="D9"/>
          <w:szCs w:val="20"/>
        </w:rPr>
        <w:t>。其中，西藏、甘肃、重庆增速位列全国前三。总体来看，中国经济运行呈现稳中向好的态势，但部分省份仍需加速发力以实现年初目标。</w:t>
      </w:r>
    </w:p>
    <w:p w14:paraId="7AAD4027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r>
        <w:rPr>
          <w:rFonts w:cs="Arial" w:hint="eastAsia"/>
          <w:b/>
          <w:bCs/>
          <w:color w:val="262626" w:themeColor="text1" w:themeTint="D9"/>
          <w:szCs w:val="20"/>
        </w:rPr>
        <w:t>3</w:t>
      </w:r>
      <w:r>
        <w:rPr>
          <w:rFonts w:cs="Arial" w:hint="eastAsia"/>
          <w:b/>
          <w:bCs/>
          <w:color w:val="262626" w:themeColor="text1" w:themeTint="D9"/>
          <w:szCs w:val="20"/>
        </w:rPr>
        <w:t>、海外方面：</w:t>
      </w:r>
      <w:r>
        <w:rPr>
          <w:rFonts w:cs="Arial" w:hint="eastAsia"/>
          <w:color w:val="262626" w:themeColor="text1" w:themeTint="D9"/>
          <w:szCs w:val="20"/>
        </w:rPr>
        <w:t>全球经济持续分化，主要经济体面临不同的挑战与机遇。美国第三季度</w:t>
      </w:r>
      <w:r>
        <w:rPr>
          <w:rFonts w:cs="Arial" w:hint="eastAsia"/>
          <w:color w:val="262626" w:themeColor="text1" w:themeTint="D9"/>
          <w:szCs w:val="20"/>
        </w:rPr>
        <w:t>GDP</w:t>
      </w:r>
      <w:r>
        <w:rPr>
          <w:rFonts w:cs="Arial" w:hint="eastAsia"/>
          <w:color w:val="262626" w:themeColor="text1" w:themeTint="D9"/>
          <w:szCs w:val="20"/>
        </w:rPr>
        <w:t>年化增速为</w:t>
      </w:r>
      <w:r>
        <w:rPr>
          <w:rFonts w:cs="Arial" w:hint="eastAsia"/>
          <w:color w:val="262626" w:themeColor="text1" w:themeTint="D9"/>
          <w:szCs w:val="20"/>
        </w:rPr>
        <w:t>2.8%</w:t>
      </w:r>
      <w:r>
        <w:rPr>
          <w:rFonts w:cs="Arial" w:hint="eastAsia"/>
          <w:color w:val="262626" w:themeColor="text1" w:themeTint="D9"/>
          <w:szCs w:val="20"/>
        </w:rPr>
        <w:t>，略低于预期，但个人消费支出增长强劲，达</w:t>
      </w:r>
      <w:r>
        <w:rPr>
          <w:rFonts w:cs="Arial" w:hint="eastAsia"/>
          <w:color w:val="262626" w:themeColor="text1" w:themeTint="D9"/>
          <w:szCs w:val="20"/>
        </w:rPr>
        <w:t>3.7%</w:t>
      </w:r>
      <w:r>
        <w:rPr>
          <w:rFonts w:cs="Arial" w:hint="eastAsia"/>
          <w:color w:val="262626" w:themeColor="text1" w:themeTint="D9"/>
          <w:szCs w:val="20"/>
        </w:rPr>
        <w:t>。与此同时，</w:t>
      </w:r>
      <w:r>
        <w:rPr>
          <w:rFonts w:cs="Arial" w:hint="eastAsia"/>
          <w:color w:val="262626" w:themeColor="text1" w:themeTint="D9"/>
          <w:szCs w:val="20"/>
        </w:rPr>
        <w:t>9</w:t>
      </w:r>
      <w:r>
        <w:rPr>
          <w:rFonts w:cs="Arial" w:hint="eastAsia"/>
          <w:color w:val="262626" w:themeColor="text1" w:themeTint="D9"/>
          <w:szCs w:val="20"/>
        </w:rPr>
        <w:t>月工厂订单和贸易逆差数据显示出经济增速放缓的迹象。此外，美国</w:t>
      </w:r>
      <w:r>
        <w:rPr>
          <w:rFonts w:cs="Arial" w:hint="eastAsia"/>
          <w:color w:val="262626" w:themeColor="text1" w:themeTint="D9"/>
          <w:szCs w:val="20"/>
        </w:rPr>
        <w:t>10</w:t>
      </w:r>
      <w:r>
        <w:rPr>
          <w:rFonts w:cs="Arial" w:hint="eastAsia"/>
          <w:color w:val="262626" w:themeColor="text1" w:themeTint="D9"/>
          <w:szCs w:val="20"/>
        </w:rPr>
        <w:t>月</w:t>
      </w:r>
      <w:r>
        <w:rPr>
          <w:rFonts w:cs="Arial" w:hint="eastAsia"/>
          <w:color w:val="262626" w:themeColor="text1" w:themeTint="D9"/>
          <w:szCs w:val="20"/>
        </w:rPr>
        <w:t>ISM</w:t>
      </w:r>
      <w:r>
        <w:rPr>
          <w:rFonts w:cs="Arial" w:hint="eastAsia"/>
          <w:color w:val="262626" w:themeColor="text1" w:themeTint="D9"/>
          <w:szCs w:val="20"/>
        </w:rPr>
        <w:t>非制造业</w:t>
      </w:r>
      <w:r>
        <w:rPr>
          <w:rFonts w:cs="Arial" w:hint="eastAsia"/>
          <w:color w:val="262626" w:themeColor="text1" w:themeTint="D9"/>
          <w:szCs w:val="20"/>
        </w:rPr>
        <w:t>PMI</w:t>
      </w:r>
      <w:r>
        <w:rPr>
          <w:rFonts w:cs="Arial" w:hint="eastAsia"/>
          <w:color w:val="262626" w:themeColor="text1" w:themeTint="D9"/>
          <w:szCs w:val="20"/>
        </w:rPr>
        <w:t>升至</w:t>
      </w:r>
      <w:r>
        <w:rPr>
          <w:rFonts w:cs="Arial" w:hint="eastAsia"/>
          <w:color w:val="262626" w:themeColor="text1" w:themeTint="D9"/>
          <w:szCs w:val="20"/>
        </w:rPr>
        <w:t>56</w:t>
      </w:r>
      <w:r>
        <w:rPr>
          <w:rFonts w:cs="Arial" w:hint="eastAsia"/>
          <w:color w:val="262626" w:themeColor="text1" w:themeTint="D9"/>
          <w:szCs w:val="20"/>
        </w:rPr>
        <w:t>，创</w:t>
      </w:r>
      <w:r>
        <w:rPr>
          <w:rFonts w:cs="Arial" w:hint="eastAsia"/>
          <w:color w:val="262626" w:themeColor="text1" w:themeTint="D9"/>
          <w:szCs w:val="20"/>
        </w:rPr>
        <w:t>2022</w:t>
      </w:r>
      <w:r>
        <w:rPr>
          <w:rFonts w:cs="Arial" w:hint="eastAsia"/>
          <w:color w:val="262626" w:themeColor="text1" w:themeTint="D9"/>
          <w:szCs w:val="20"/>
        </w:rPr>
        <w:t>年以来新高，表明服务业持续扩张。欧元区方面，</w:t>
      </w:r>
      <w:r>
        <w:rPr>
          <w:rFonts w:cs="Arial" w:hint="eastAsia"/>
          <w:color w:val="262626" w:themeColor="text1" w:themeTint="D9"/>
          <w:szCs w:val="20"/>
        </w:rPr>
        <w:t>10</w:t>
      </w:r>
      <w:r>
        <w:rPr>
          <w:rFonts w:cs="Arial" w:hint="eastAsia"/>
          <w:color w:val="262626" w:themeColor="text1" w:themeTint="D9"/>
          <w:szCs w:val="20"/>
        </w:rPr>
        <w:t>月制造业</w:t>
      </w:r>
      <w:r>
        <w:rPr>
          <w:rFonts w:cs="Arial" w:hint="eastAsia"/>
          <w:color w:val="262626" w:themeColor="text1" w:themeTint="D9"/>
          <w:szCs w:val="20"/>
        </w:rPr>
        <w:t>PMI</w:t>
      </w:r>
      <w:r>
        <w:rPr>
          <w:rFonts w:cs="Arial" w:hint="eastAsia"/>
          <w:color w:val="262626" w:themeColor="text1" w:themeTint="D9"/>
          <w:szCs w:val="20"/>
        </w:rPr>
        <w:t>略有回升至</w:t>
      </w:r>
      <w:r>
        <w:rPr>
          <w:rFonts w:cs="Arial" w:hint="eastAsia"/>
          <w:color w:val="262626" w:themeColor="text1" w:themeTint="D9"/>
          <w:szCs w:val="20"/>
        </w:rPr>
        <w:t>46</w:t>
      </w:r>
      <w:r>
        <w:rPr>
          <w:rFonts w:cs="Arial" w:hint="eastAsia"/>
          <w:color w:val="262626" w:themeColor="text1" w:themeTint="D9"/>
          <w:szCs w:val="20"/>
        </w:rPr>
        <w:t>，德国和法国的制造业</w:t>
      </w:r>
      <w:r>
        <w:rPr>
          <w:rFonts w:cs="Arial" w:hint="eastAsia"/>
          <w:color w:val="262626" w:themeColor="text1" w:themeTint="D9"/>
          <w:szCs w:val="20"/>
        </w:rPr>
        <w:t>PMI</w:t>
      </w:r>
      <w:r>
        <w:rPr>
          <w:rFonts w:cs="Arial" w:hint="eastAsia"/>
          <w:color w:val="262626" w:themeColor="text1" w:themeTint="D9"/>
          <w:szCs w:val="20"/>
        </w:rPr>
        <w:t>均有所改善，但经济信心指数仍处于负值区间，显示出经济复苏的脆弱性。印度</w:t>
      </w:r>
      <w:r>
        <w:rPr>
          <w:rFonts w:cs="Arial" w:hint="eastAsia"/>
          <w:color w:val="262626" w:themeColor="text1" w:themeTint="D9"/>
          <w:szCs w:val="20"/>
        </w:rPr>
        <w:t>10</w:t>
      </w:r>
      <w:r>
        <w:rPr>
          <w:rFonts w:cs="Arial" w:hint="eastAsia"/>
          <w:color w:val="262626" w:themeColor="text1" w:themeTint="D9"/>
          <w:szCs w:val="20"/>
        </w:rPr>
        <w:t>月制造业</w:t>
      </w:r>
      <w:r>
        <w:rPr>
          <w:rFonts w:cs="Arial" w:hint="eastAsia"/>
          <w:color w:val="262626" w:themeColor="text1" w:themeTint="D9"/>
          <w:szCs w:val="20"/>
        </w:rPr>
        <w:t>PMI</w:t>
      </w:r>
      <w:r>
        <w:rPr>
          <w:rFonts w:cs="Arial" w:hint="eastAsia"/>
          <w:color w:val="262626" w:themeColor="text1" w:themeTint="D9"/>
          <w:szCs w:val="20"/>
        </w:rPr>
        <w:t>继续表现强劲，达</w:t>
      </w:r>
      <w:r>
        <w:rPr>
          <w:rFonts w:cs="Arial" w:hint="eastAsia"/>
          <w:color w:val="262626" w:themeColor="text1" w:themeTint="D9"/>
          <w:szCs w:val="20"/>
        </w:rPr>
        <w:t>57.5</w:t>
      </w:r>
      <w:r>
        <w:rPr>
          <w:rFonts w:cs="Arial" w:hint="eastAsia"/>
          <w:color w:val="262626" w:themeColor="text1" w:themeTint="D9"/>
          <w:szCs w:val="20"/>
        </w:rPr>
        <w:t>，继续领先其他经济体。加拿大央行则在货币政策上保持谨慎，讨论了可能的降息措施及其对消费增长的影响。</w:t>
      </w:r>
    </w:p>
    <w:p w14:paraId="3E4522DD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r>
        <w:rPr>
          <w:rFonts w:cs="Arial" w:hint="eastAsia"/>
          <w:b/>
          <w:bCs/>
          <w:color w:val="262626" w:themeColor="text1" w:themeTint="D9"/>
          <w:szCs w:val="20"/>
        </w:rPr>
        <w:t>指数涨幅：</w:t>
      </w:r>
    </w:p>
    <w:p w14:paraId="07748738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r>
        <w:rPr>
          <w:rFonts w:cs="Arial" w:hint="eastAsia"/>
          <w:b/>
          <w:bCs/>
          <w:color w:val="262626" w:themeColor="text1" w:themeTint="D9"/>
          <w:szCs w:val="20"/>
        </w:rPr>
        <w:t>风格涨幅：</w:t>
      </w:r>
    </w:p>
    <w:p w14:paraId="27851261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proofErr w:type="gramStart"/>
      <w:r>
        <w:rPr>
          <w:rFonts w:cs="Arial" w:hint="eastAsia"/>
          <w:b/>
          <w:bCs/>
          <w:color w:val="262626" w:themeColor="text1" w:themeTint="D9"/>
          <w:szCs w:val="20"/>
        </w:rPr>
        <w:t>行业涨幅</w:t>
      </w:r>
      <w:proofErr w:type="gramEnd"/>
      <w:r>
        <w:rPr>
          <w:rFonts w:cs="Arial" w:hint="eastAsia"/>
          <w:b/>
          <w:bCs/>
          <w:color w:val="262626" w:themeColor="text1" w:themeTint="D9"/>
          <w:szCs w:val="20"/>
        </w:rPr>
        <w:t>靠前：</w:t>
      </w:r>
    </w:p>
    <w:p w14:paraId="5606D7AB" w14:textId="77777777" w:rsidR="00E04867" w:rsidRDefault="00000000">
      <w:pPr>
        <w:pStyle w:val="1"/>
        <w:spacing w:before="156" w:after="156"/>
        <w:rPr>
          <w:rFonts w:cs="Arial"/>
          <w:b/>
          <w:bCs/>
          <w:color w:val="262626" w:themeColor="text1" w:themeTint="D9"/>
          <w:szCs w:val="20"/>
        </w:rPr>
      </w:pPr>
      <w:proofErr w:type="gramStart"/>
      <w:r>
        <w:rPr>
          <w:rFonts w:cs="Arial" w:hint="eastAsia"/>
          <w:b/>
          <w:bCs/>
          <w:color w:val="262626" w:themeColor="text1" w:themeTint="D9"/>
          <w:szCs w:val="20"/>
        </w:rPr>
        <w:t>行业涨幅</w:t>
      </w:r>
      <w:proofErr w:type="gramEnd"/>
      <w:r>
        <w:rPr>
          <w:rFonts w:cs="Arial" w:hint="eastAsia"/>
          <w:b/>
          <w:bCs/>
          <w:color w:val="262626" w:themeColor="text1" w:themeTint="D9"/>
          <w:szCs w:val="20"/>
        </w:rPr>
        <w:t>靠后：</w:t>
      </w:r>
      <w:bookmarkEnd w:id="2"/>
    </w:p>
    <w:tbl>
      <w:tblPr>
        <w:tblStyle w:val="a7"/>
        <w:tblW w:w="9988" w:type="dxa"/>
        <w:jc w:val="center"/>
        <w:tblLayout w:type="fixed"/>
        <w:tblLook w:val="04A0" w:firstRow="1" w:lastRow="0" w:firstColumn="1" w:lastColumn="0" w:noHBand="0" w:noVBand="1"/>
      </w:tblPr>
      <w:tblGrid>
        <w:gridCol w:w="4876"/>
        <w:gridCol w:w="236"/>
        <w:gridCol w:w="4876"/>
      </w:tblGrid>
      <w:tr w:rsidR="00E04867" w14:paraId="7CDFBFF6" w14:textId="77777777">
        <w:trPr>
          <w:jc w:val="center"/>
        </w:trPr>
        <w:tc>
          <w:tcPr>
            <w:tcW w:w="4876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5FC5682F" w14:textId="77777777" w:rsidR="00E04867" w:rsidRDefault="00000000">
            <w:pPr>
              <w:pStyle w:val="21"/>
              <w:rPr>
                <w:color w:val="262626" w:themeColor="text1" w:themeTint="D9"/>
                <w:kern w:val="0"/>
                <w:highlight w:val="yellow"/>
              </w:rPr>
            </w:pPr>
            <w:r>
              <w:rPr>
                <w:rFonts w:cs="Arial"/>
                <w:color w:val="262626" w:themeColor="text1" w:themeTint="D9"/>
                <w:kern w:val="0"/>
              </w:rPr>
              <w:t>图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begin"/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SEQ 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>图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\* ARABIC  \* MERGEFORMAT </w:instrTex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separate"/>
            </w:r>
            <w:r>
              <w:rPr>
                <w:rFonts w:cs="Arial"/>
                <w:color w:val="262626" w:themeColor="text1" w:themeTint="D9"/>
                <w:kern w:val="0"/>
              </w:rPr>
              <w:t>2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end"/>
            </w:r>
            <w:r>
              <w:rPr>
                <w:rFonts w:cs="Arial"/>
                <w:color w:val="262626" w:themeColor="text1" w:themeTint="D9"/>
                <w:kern w:val="0"/>
              </w:rPr>
              <w:t>：</w:t>
            </w:r>
            <w:r>
              <w:rPr>
                <w:rFonts w:cs="Arial" w:hint="eastAsia"/>
                <w:color w:val="262626" w:themeColor="text1" w:themeTint="D9"/>
                <w:kern w:val="0"/>
              </w:rPr>
              <w:t>主要指数涨跌幅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3AB2D5" w14:textId="77777777" w:rsidR="00E04867" w:rsidRDefault="00E04867">
            <w:pPr>
              <w:pStyle w:val="21"/>
              <w:rPr>
                <w:rFonts w:cs="Arial"/>
                <w:color w:val="262626" w:themeColor="text1" w:themeTint="D9"/>
                <w:kern w:val="0"/>
              </w:rPr>
            </w:pP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14:paraId="6DEB7476" w14:textId="77777777" w:rsidR="00E04867" w:rsidRDefault="00000000">
            <w:pPr>
              <w:pStyle w:val="21"/>
              <w:rPr>
                <w:rFonts w:cs="Arial"/>
                <w:color w:val="262626" w:themeColor="text1" w:themeTint="D9"/>
                <w:kern w:val="0"/>
              </w:rPr>
            </w:pPr>
            <w:bookmarkStart w:id="3" w:name="_Toc529116740"/>
            <w:r>
              <w:rPr>
                <w:rFonts w:cs="Arial"/>
                <w:color w:val="262626" w:themeColor="text1" w:themeTint="D9"/>
                <w:kern w:val="0"/>
              </w:rPr>
              <w:t>图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begin"/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SEQ 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>图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\* ARABIC  \* MERGEFORMAT </w:instrTex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separate"/>
            </w:r>
            <w:r>
              <w:rPr>
                <w:rFonts w:cs="Arial"/>
                <w:color w:val="262626" w:themeColor="text1" w:themeTint="D9"/>
                <w:kern w:val="0"/>
              </w:rPr>
              <w:t>3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end"/>
            </w:r>
            <w:r>
              <w:rPr>
                <w:rFonts w:cs="Arial"/>
                <w:color w:val="262626" w:themeColor="text1" w:themeTint="D9"/>
                <w:kern w:val="0"/>
              </w:rPr>
              <w:t>：</w:t>
            </w:r>
            <w:bookmarkEnd w:id="3"/>
            <w:r>
              <w:rPr>
                <w:rFonts w:cs="Arial" w:hint="eastAsia"/>
                <w:color w:val="262626"/>
                <w:kern w:val="0"/>
                <w14:textFill>
                  <w14:solidFill>
                    <w14:srgbClr w14:val="262626">
                      <w14:lumMod w14:val="85000"/>
                      <w14:lumOff w14:val="15000"/>
                    </w14:srgbClr>
                  </w14:solidFill>
                </w14:textFill>
              </w:rPr>
              <w:t>风格涨跌幅</w:t>
            </w:r>
          </w:p>
        </w:tc>
      </w:tr>
      <w:tr w:rsidR="00E04867" w14:paraId="104BC131" w14:textId="77777777" w:rsidTr="00EC610B">
        <w:trPr>
          <w:trHeight w:val="567"/>
          <w:jc w:val="center"/>
        </w:trPr>
        <w:tc>
          <w:tcPr>
            <w:tcW w:w="4876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vAlign w:val="center"/>
          </w:tcPr>
          <w:p w14:paraId="2ED42C31" w14:textId="48AEB755" w:rsidR="00E04867" w:rsidRDefault="00EC610B">
            <w:pPr>
              <w:jc w:val="center"/>
              <w:rPr>
                <w:rFonts w:ascii="Arial" w:eastAsia="华文楷体" w:hAnsi="Arial"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BC056D" wp14:editId="552926B9">
                  <wp:extent cx="2959100" cy="2117090"/>
                  <wp:effectExtent l="0" t="0" r="0" b="0"/>
                  <wp:docPr id="1314271552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015F7" w14:textId="77777777" w:rsidR="00E04867" w:rsidRDefault="00E04867">
            <w:pPr>
              <w:spacing w:before="156" w:after="156"/>
              <w:jc w:val="center"/>
              <w:rPr>
                <w:rFonts w:ascii="Arial" w:eastAsia="华文楷体" w:hAnsi="Arial" w:cs="Arial"/>
                <w:kern w:val="0"/>
                <w:sz w:val="20"/>
                <w:szCs w:val="20"/>
              </w:rPr>
            </w:pPr>
          </w:p>
        </w:tc>
        <w:tc>
          <w:tcPr>
            <w:tcW w:w="4876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vAlign w:val="center"/>
          </w:tcPr>
          <w:p w14:paraId="2A47671E" w14:textId="31FAAC31" w:rsidR="00E04867" w:rsidRDefault="00EC610B">
            <w:pPr>
              <w:jc w:val="center"/>
              <w:rPr>
                <w:rFonts w:ascii="Arial" w:eastAsia="华文楷体" w:hAnsi="Arial" w:cs="Arial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ACA971" wp14:editId="12ED457F">
                  <wp:extent cx="2959100" cy="2098675"/>
                  <wp:effectExtent l="0" t="0" r="0" b="0"/>
                  <wp:docPr id="951642397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E04867" w14:paraId="16B38C75" w14:textId="77777777">
        <w:trPr>
          <w:trHeight w:val="326"/>
          <w:jc w:val="center"/>
        </w:trPr>
        <w:tc>
          <w:tcPr>
            <w:tcW w:w="487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453F3FBB" w14:textId="77777777" w:rsidR="00E04867" w:rsidRDefault="00000000">
            <w:pPr>
              <w:pStyle w:val="22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资料来源：</w:t>
            </w:r>
            <w:r>
              <w:rPr>
                <w:rFonts w:cs="Arial"/>
                <w:color w:val="262626" w:themeColor="text1" w:themeTint="D9"/>
              </w:rPr>
              <w:t>Wind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7CB4FD" w14:textId="77777777" w:rsidR="00E04867" w:rsidRDefault="00E04867">
            <w:pPr>
              <w:pStyle w:val="2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876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14:paraId="19380F66" w14:textId="77777777" w:rsidR="00E04867" w:rsidRDefault="00000000">
            <w:pPr>
              <w:pStyle w:val="22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资料来源：</w:t>
            </w:r>
            <w:r>
              <w:rPr>
                <w:rFonts w:cs="Arial"/>
                <w:color w:val="262626" w:themeColor="text1" w:themeTint="D9"/>
              </w:rPr>
              <w:t>Wind</w:t>
            </w:r>
          </w:p>
        </w:tc>
      </w:tr>
    </w:tbl>
    <w:p w14:paraId="0120142A" w14:textId="77777777" w:rsidR="00E04867" w:rsidRDefault="00E04867">
      <w:pPr>
        <w:widowControl/>
        <w:jc w:val="left"/>
        <w:rPr>
          <w:rFonts w:ascii="Arial" w:eastAsia="华文楷体" w:hAnsi="Arial" w:cs="Arial"/>
          <w:color w:val="262626" w:themeColor="text1" w:themeTint="D9"/>
          <w:sz w:val="20"/>
        </w:rPr>
      </w:pPr>
    </w:p>
    <w:p w14:paraId="6D91DAB4" w14:textId="77777777" w:rsidR="00E04867" w:rsidRDefault="00E04867">
      <w:pPr>
        <w:widowControl/>
        <w:jc w:val="left"/>
        <w:rPr>
          <w:rFonts w:ascii="Arial" w:eastAsia="华文楷体" w:hAnsi="Arial" w:cs="Arial"/>
          <w:color w:val="262626" w:themeColor="text1" w:themeTint="D9"/>
          <w:sz w:val="20"/>
        </w:rPr>
      </w:pPr>
    </w:p>
    <w:tbl>
      <w:tblPr>
        <w:tblStyle w:val="a7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9978"/>
      </w:tblGrid>
      <w:tr w:rsidR="00E04867" w14:paraId="3CF99787" w14:textId="77777777">
        <w:tc>
          <w:tcPr>
            <w:tcW w:w="9978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</w:tcPr>
          <w:p w14:paraId="46B23073" w14:textId="77777777" w:rsidR="00E04867" w:rsidRDefault="00000000">
            <w:pPr>
              <w:pStyle w:val="21"/>
              <w:rPr>
                <w:rFonts w:cs="Arial"/>
                <w:color w:val="262626" w:themeColor="text1" w:themeTint="D9"/>
                <w:kern w:val="0"/>
              </w:rPr>
            </w:pPr>
            <w:r>
              <w:rPr>
                <w:rFonts w:cs="Arial"/>
                <w:color w:val="262626" w:themeColor="text1" w:themeTint="D9"/>
                <w:kern w:val="0"/>
              </w:rPr>
              <w:br w:type="page"/>
            </w:r>
            <w:r>
              <w:rPr>
                <w:rFonts w:cs="Arial"/>
                <w:color w:val="262626" w:themeColor="text1" w:themeTint="D9"/>
                <w:kern w:val="0"/>
              </w:rPr>
              <w:t>图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begin"/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SEQ 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>图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\* ARABIC  \* MERGEFORMAT </w:instrTex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separate"/>
            </w:r>
            <w:r>
              <w:rPr>
                <w:rFonts w:cs="Arial"/>
                <w:color w:val="262626" w:themeColor="text1" w:themeTint="D9"/>
                <w:kern w:val="0"/>
              </w:rPr>
              <w:t>4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end"/>
            </w:r>
            <w:r>
              <w:rPr>
                <w:rFonts w:cs="Arial"/>
                <w:color w:val="262626" w:themeColor="text1" w:themeTint="D9"/>
                <w:kern w:val="0"/>
              </w:rPr>
              <w:t>：</w:t>
            </w:r>
            <w:proofErr w:type="gramStart"/>
            <w:r>
              <w:rPr>
                <w:rFonts w:cs="Arial" w:hint="eastAsia"/>
                <w:color w:val="262626" w:themeColor="text1" w:themeTint="D9"/>
                <w:kern w:val="0"/>
              </w:rPr>
              <w:t>申万一级行业</w:t>
            </w:r>
            <w:proofErr w:type="gramEnd"/>
            <w:r>
              <w:rPr>
                <w:rFonts w:cs="Arial" w:hint="eastAsia"/>
                <w:color w:val="262626" w:themeColor="text1" w:themeTint="D9"/>
                <w:kern w:val="0"/>
              </w:rPr>
              <w:t>涨跌幅</w:t>
            </w:r>
          </w:p>
        </w:tc>
      </w:tr>
      <w:tr w:rsidR="00E04867" w14:paraId="29BAC403" w14:textId="77777777" w:rsidTr="00EC610B">
        <w:trPr>
          <w:trHeight w:val="3866"/>
        </w:trPr>
        <w:tc>
          <w:tcPr>
            <w:tcW w:w="9978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auto"/>
          </w:tcPr>
          <w:p w14:paraId="4E36DCA0" w14:textId="07A2B31E" w:rsidR="00E04867" w:rsidRDefault="00EC610B">
            <w:pPr>
              <w:jc w:val="center"/>
              <w:rPr>
                <w:rFonts w:ascii="Arial" w:eastAsia="华文楷体" w:hAnsi="Arial" w:cs="Arial"/>
                <w:color w:val="4D4D4F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BE3628" wp14:editId="54EF3A3E">
                  <wp:extent cx="4832107" cy="2926080"/>
                  <wp:effectExtent l="0" t="0" r="6985" b="7620"/>
                  <wp:docPr id="1391489940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E04867" w14:paraId="4851F6E7" w14:textId="77777777">
        <w:tc>
          <w:tcPr>
            <w:tcW w:w="997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14:paraId="7CFE716A" w14:textId="77777777" w:rsidR="00E04867" w:rsidRDefault="00000000">
            <w:pPr>
              <w:pStyle w:val="22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资料来源：</w:t>
            </w:r>
            <w:r>
              <w:rPr>
                <w:rFonts w:cs="Arial"/>
                <w:color w:val="262626" w:themeColor="text1" w:themeTint="D9"/>
              </w:rPr>
              <w:t>Wind</w:t>
            </w:r>
          </w:p>
        </w:tc>
      </w:tr>
    </w:tbl>
    <w:p w14:paraId="59FFEF66" w14:textId="77777777" w:rsidR="00E04867" w:rsidRDefault="00E04867">
      <w:pPr>
        <w:pStyle w:val="1"/>
        <w:spacing w:before="156" w:after="156"/>
        <w:rPr>
          <w:b/>
          <w:bCs/>
          <w:color w:val="262626" w:themeColor="text1" w:themeTint="D9"/>
        </w:rPr>
      </w:pPr>
      <w:bookmarkStart w:id="4" w:name="_Hlk117969995"/>
      <w:bookmarkEnd w:id="1"/>
    </w:p>
    <w:p w14:paraId="4A9003FB" w14:textId="77777777" w:rsidR="00E04867" w:rsidRDefault="00000000">
      <w:pPr>
        <w:pStyle w:val="3"/>
        <w:numPr>
          <w:ilvl w:val="0"/>
          <w:numId w:val="0"/>
        </w:numPr>
        <w:rPr>
          <w:rFonts w:cs="Arial"/>
        </w:rPr>
      </w:pPr>
      <w:r>
        <w:rPr>
          <w:rFonts w:cs="Arial" w:hint="eastAsia"/>
        </w:rPr>
        <w:t>2</w:t>
      </w:r>
      <w:r>
        <w:rPr>
          <w:rFonts w:cs="Arial"/>
        </w:rPr>
        <w:t>.</w:t>
      </w:r>
      <w:r>
        <w:rPr>
          <w:rFonts w:cs="Arial" w:hint="eastAsia"/>
        </w:rPr>
        <w:t>上周重要事件</w:t>
      </w:r>
    </w:p>
    <w:p w14:paraId="490F4E85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1</w:t>
      </w:r>
      <w:r>
        <w:rPr>
          <w:rFonts w:ascii="Times New Roman" w:eastAsia="楷体_GB2312" w:hAnsi="Times New Roman" w:cs="Times New Roman" w:hint="eastAsia"/>
        </w:rPr>
        <w:t>、双十</w:t>
      </w:r>
      <w:proofErr w:type="gramStart"/>
      <w:r>
        <w:rPr>
          <w:rFonts w:ascii="Times New Roman" w:eastAsia="楷体_GB2312" w:hAnsi="Times New Roman" w:cs="Times New Roman" w:hint="eastAsia"/>
        </w:rPr>
        <w:t>一</w:t>
      </w:r>
      <w:proofErr w:type="gramEnd"/>
      <w:r>
        <w:rPr>
          <w:rFonts w:ascii="Times New Roman" w:eastAsia="楷体_GB2312" w:hAnsi="Times New Roman" w:cs="Times New Roman" w:hint="eastAsia"/>
        </w:rPr>
        <w:t>临近，各大电商平台秣马厉兵，消费者期盼已久的“价格战”正蓄势而来。在百亿补贴和大促的背景下，有电商平台的贵州茅台</w:t>
      </w:r>
      <w:r>
        <w:rPr>
          <w:rFonts w:ascii="Times New Roman" w:eastAsia="楷体_GB2312" w:hAnsi="Times New Roman" w:cs="Times New Roman" w:hint="eastAsia"/>
        </w:rPr>
        <w:t>53</w:t>
      </w:r>
      <w:r>
        <w:rPr>
          <w:rFonts w:ascii="Times New Roman" w:eastAsia="楷体_GB2312" w:hAnsi="Times New Roman" w:cs="Times New Roman" w:hint="eastAsia"/>
        </w:rPr>
        <w:t>度</w:t>
      </w:r>
      <w:r>
        <w:rPr>
          <w:rFonts w:ascii="Times New Roman" w:eastAsia="楷体_GB2312" w:hAnsi="Times New Roman" w:cs="Times New Roman" w:hint="eastAsia"/>
        </w:rPr>
        <w:t>500ml</w:t>
      </w:r>
      <w:r>
        <w:rPr>
          <w:rFonts w:ascii="Times New Roman" w:eastAsia="楷体_GB2312" w:hAnsi="Times New Roman" w:cs="Times New Roman" w:hint="eastAsia"/>
        </w:rPr>
        <w:t>装海外版飞天茅台跌破</w:t>
      </w:r>
      <w:r>
        <w:rPr>
          <w:rFonts w:ascii="Times New Roman" w:eastAsia="楷体_GB2312" w:hAnsi="Times New Roman" w:cs="Times New Roman" w:hint="eastAsia"/>
        </w:rPr>
        <w:t>2000</w:t>
      </w:r>
      <w:r>
        <w:rPr>
          <w:rFonts w:ascii="Times New Roman" w:eastAsia="楷体_GB2312" w:hAnsi="Times New Roman" w:cs="Times New Roman" w:hint="eastAsia"/>
        </w:rPr>
        <w:t>元</w:t>
      </w:r>
      <w:r>
        <w:rPr>
          <w:rFonts w:ascii="Times New Roman" w:eastAsia="楷体_GB2312" w:hAnsi="Times New Roman" w:cs="Times New Roman" w:hint="eastAsia"/>
        </w:rPr>
        <w:t>/</w:t>
      </w:r>
      <w:r>
        <w:rPr>
          <w:rFonts w:ascii="Times New Roman" w:eastAsia="楷体_GB2312" w:hAnsi="Times New Roman" w:cs="Times New Roman" w:hint="eastAsia"/>
        </w:rPr>
        <w:t>瓶大关，价格报</w:t>
      </w:r>
      <w:r>
        <w:rPr>
          <w:rFonts w:ascii="Times New Roman" w:eastAsia="楷体_GB2312" w:hAnsi="Times New Roman" w:cs="Times New Roman" w:hint="eastAsia"/>
        </w:rPr>
        <w:t>1983</w:t>
      </w:r>
      <w:r>
        <w:rPr>
          <w:rFonts w:ascii="Times New Roman" w:eastAsia="楷体_GB2312" w:hAnsi="Times New Roman" w:cs="Times New Roman" w:hint="eastAsia"/>
        </w:rPr>
        <w:t>元</w:t>
      </w:r>
      <w:r>
        <w:rPr>
          <w:rFonts w:ascii="Times New Roman" w:eastAsia="楷体_GB2312" w:hAnsi="Times New Roman" w:cs="Times New Roman" w:hint="eastAsia"/>
        </w:rPr>
        <w:t>/</w:t>
      </w:r>
      <w:r>
        <w:rPr>
          <w:rFonts w:ascii="Times New Roman" w:eastAsia="楷体_GB2312" w:hAnsi="Times New Roman" w:cs="Times New Roman" w:hint="eastAsia"/>
        </w:rPr>
        <w:t>瓶。</w:t>
      </w:r>
    </w:p>
    <w:p w14:paraId="35814BFB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47E4F411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2</w:t>
      </w:r>
      <w:r>
        <w:rPr>
          <w:rFonts w:ascii="Times New Roman" w:eastAsia="楷体_GB2312" w:hAnsi="Times New Roman" w:cs="Times New Roman" w:hint="eastAsia"/>
        </w:rPr>
        <w:t>、中国房地产报称，有机构认为，</w:t>
      </w:r>
      <w:r>
        <w:rPr>
          <w:rFonts w:ascii="Times New Roman" w:eastAsia="楷体_GB2312" w:hAnsi="Times New Roman" w:cs="Times New Roman" w:hint="eastAsia"/>
        </w:rPr>
        <w:t>100</w:t>
      </w:r>
      <w:r>
        <w:rPr>
          <w:rFonts w:ascii="Times New Roman" w:eastAsia="楷体_GB2312" w:hAnsi="Times New Roman" w:cs="Times New Roman" w:hint="eastAsia"/>
        </w:rPr>
        <w:t>万套的货币化安置规模相比于</w:t>
      </w:r>
      <w:r>
        <w:rPr>
          <w:rFonts w:ascii="Times New Roman" w:eastAsia="楷体_GB2312" w:hAnsi="Times New Roman" w:cs="Times New Roman" w:hint="eastAsia"/>
        </w:rPr>
        <w:t>2016</w:t>
      </w:r>
      <w:r>
        <w:rPr>
          <w:rFonts w:ascii="Times New Roman" w:eastAsia="楷体_GB2312" w:hAnsi="Times New Roman" w:cs="Times New Roman" w:hint="eastAsia"/>
        </w:rPr>
        <w:t>年、</w:t>
      </w:r>
      <w:r>
        <w:rPr>
          <w:rFonts w:ascii="Times New Roman" w:eastAsia="楷体_GB2312" w:hAnsi="Times New Roman" w:cs="Times New Roman" w:hint="eastAsia"/>
        </w:rPr>
        <w:t>2017</w:t>
      </w:r>
      <w:r>
        <w:rPr>
          <w:rFonts w:ascii="Times New Roman" w:eastAsia="楷体_GB2312" w:hAnsi="Times New Roman" w:cs="Times New Roman" w:hint="eastAsia"/>
        </w:rPr>
        <w:t>年每年</w:t>
      </w:r>
      <w:r>
        <w:rPr>
          <w:rFonts w:ascii="Times New Roman" w:eastAsia="楷体_GB2312" w:hAnsi="Times New Roman" w:cs="Times New Roman" w:hint="eastAsia"/>
        </w:rPr>
        <w:t>600</w:t>
      </w:r>
      <w:r>
        <w:rPr>
          <w:rFonts w:ascii="Times New Roman" w:eastAsia="楷体_GB2312" w:hAnsi="Times New Roman" w:cs="Times New Roman" w:hint="eastAsia"/>
        </w:rPr>
        <w:t>万套棚改，拉动力度不够，但此前的货币化安置比例在</w:t>
      </w:r>
      <w:r>
        <w:rPr>
          <w:rFonts w:ascii="Times New Roman" w:eastAsia="楷体_GB2312" w:hAnsi="Times New Roman" w:cs="Times New Roman" w:hint="eastAsia"/>
        </w:rPr>
        <w:t>30%~50%</w:t>
      </w:r>
      <w:r>
        <w:rPr>
          <w:rFonts w:ascii="Times New Roman" w:eastAsia="楷体_GB2312" w:hAnsi="Times New Roman" w:cs="Times New Roman" w:hint="eastAsia"/>
        </w:rPr>
        <w:t>，而此次提出的</w:t>
      </w:r>
      <w:r>
        <w:rPr>
          <w:rFonts w:ascii="Times New Roman" w:eastAsia="楷体_GB2312" w:hAnsi="Times New Roman" w:cs="Times New Roman" w:hint="eastAsia"/>
        </w:rPr>
        <w:t>100</w:t>
      </w:r>
      <w:r>
        <w:rPr>
          <w:rFonts w:ascii="Times New Roman" w:eastAsia="楷体_GB2312" w:hAnsi="Times New Roman" w:cs="Times New Roman" w:hint="eastAsia"/>
        </w:rPr>
        <w:t>万套是条件成熟即可落实的货币化安置，是在原有基础上的增量。</w:t>
      </w:r>
    </w:p>
    <w:p w14:paraId="4B5DB910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0E5372D0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3</w:t>
      </w:r>
      <w:r>
        <w:rPr>
          <w:rFonts w:ascii="Times New Roman" w:eastAsia="楷体_GB2312" w:hAnsi="Times New Roman" w:cs="Times New Roman" w:hint="eastAsia"/>
        </w:rPr>
        <w:t>、全球即将迎来超级周。目前市场预计美联储降息</w:t>
      </w:r>
      <w:r>
        <w:rPr>
          <w:rFonts w:ascii="Times New Roman" w:eastAsia="楷体_GB2312" w:hAnsi="Times New Roman" w:cs="Times New Roman" w:hint="eastAsia"/>
        </w:rPr>
        <w:t>25</w:t>
      </w:r>
      <w:r>
        <w:rPr>
          <w:rFonts w:ascii="Times New Roman" w:eastAsia="楷体_GB2312" w:hAnsi="Times New Roman" w:cs="Times New Roman" w:hint="eastAsia"/>
        </w:rPr>
        <w:t>个基点的概率飙升至</w:t>
      </w:r>
      <w:r>
        <w:rPr>
          <w:rFonts w:ascii="Times New Roman" w:eastAsia="楷体_GB2312" w:hAnsi="Times New Roman" w:cs="Times New Roman" w:hint="eastAsia"/>
        </w:rPr>
        <w:t>99.7%</w:t>
      </w:r>
      <w:r>
        <w:rPr>
          <w:rFonts w:ascii="Times New Roman" w:eastAsia="楷体_GB2312" w:hAnsi="Times New Roman" w:cs="Times New Roman" w:hint="eastAsia"/>
        </w:rPr>
        <w:t>。“股神”巴菲特旗下公司伯克希尔·哈撒韦公布的三季报信息量很大，释放诸多重磅信号。华尔街分析人士认为，在一系列历史性事件来临前夕，巴菲</w:t>
      </w:r>
      <w:proofErr w:type="gramStart"/>
      <w:r>
        <w:rPr>
          <w:rFonts w:ascii="Times New Roman" w:eastAsia="楷体_GB2312" w:hAnsi="Times New Roman" w:cs="Times New Roman" w:hint="eastAsia"/>
        </w:rPr>
        <w:t>特大举减</w:t>
      </w:r>
      <w:proofErr w:type="gramEnd"/>
      <w:r>
        <w:rPr>
          <w:rFonts w:ascii="Times New Roman" w:eastAsia="楷体_GB2312" w:hAnsi="Times New Roman" w:cs="Times New Roman" w:hint="eastAsia"/>
        </w:rPr>
        <w:t>持、囤积现金储备的举动，或许意味着他有意规避巨大的不确定性。</w:t>
      </w:r>
    </w:p>
    <w:p w14:paraId="49D08A5A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31685F35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4</w:t>
      </w:r>
      <w:r>
        <w:rPr>
          <w:rFonts w:ascii="Times New Roman" w:eastAsia="楷体_GB2312" w:hAnsi="Times New Roman" w:cs="Times New Roman" w:hint="eastAsia"/>
        </w:rPr>
        <w:t>、美股上周全线下挫，最新公布的大型科技公司业绩喜忧参半，美国大选的不确定性、通胀和非农就业数据继续推高美债收益率，打压市场风险偏好。随着华尔街“恐惧指数”</w:t>
      </w:r>
      <w:r>
        <w:rPr>
          <w:rFonts w:ascii="Times New Roman" w:eastAsia="楷体_GB2312" w:hAnsi="Times New Roman" w:cs="Times New Roman" w:hint="eastAsia"/>
        </w:rPr>
        <w:t>VIX</w:t>
      </w:r>
      <w:r>
        <w:rPr>
          <w:rFonts w:ascii="Times New Roman" w:eastAsia="楷体_GB2312" w:hAnsi="Times New Roman" w:cs="Times New Roman" w:hint="eastAsia"/>
        </w:rPr>
        <w:t>升至三周多来的高点，投资者可能仍需要面对美联储决议、选情焦灼带来的更多波动。</w:t>
      </w:r>
    </w:p>
    <w:p w14:paraId="6E9A3D8D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28AAFBA1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5</w:t>
      </w:r>
      <w:r>
        <w:rPr>
          <w:rFonts w:ascii="Times New Roman" w:eastAsia="楷体_GB2312" w:hAnsi="Times New Roman" w:cs="Times New Roman" w:hint="eastAsia"/>
        </w:rPr>
        <w:t>、三位消息人士称，欧佩克</w:t>
      </w:r>
      <w:r>
        <w:rPr>
          <w:rFonts w:ascii="Times New Roman" w:eastAsia="楷体_GB2312" w:hAnsi="Times New Roman" w:cs="Times New Roman" w:hint="eastAsia"/>
        </w:rPr>
        <w:t>+</w:t>
      </w:r>
      <w:r>
        <w:rPr>
          <w:rFonts w:ascii="Times New Roman" w:eastAsia="楷体_GB2312" w:hAnsi="Times New Roman" w:cs="Times New Roman" w:hint="eastAsia"/>
        </w:rPr>
        <w:t>已同意将原定于</w:t>
      </w:r>
      <w:r>
        <w:rPr>
          <w:rFonts w:ascii="Times New Roman" w:eastAsia="楷体_GB2312" w:hAnsi="Times New Roman" w:cs="Times New Roman" w:hint="eastAsia"/>
        </w:rPr>
        <w:t>12</w:t>
      </w:r>
      <w:r>
        <w:rPr>
          <w:rFonts w:ascii="Times New Roman" w:eastAsia="楷体_GB2312" w:hAnsi="Times New Roman" w:cs="Times New Roman" w:hint="eastAsia"/>
        </w:rPr>
        <w:t>月的石油增产计划推迟一个月，原因是石油需求疲软，以及欧佩克以外地区石油供应的增加，给石油市场带来了下行压力。由欧佩克、俄罗斯和其他产油国组成的欧佩克</w:t>
      </w:r>
      <w:r>
        <w:rPr>
          <w:rFonts w:ascii="Times New Roman" w:eastAsia="楷体_GB2312" w:hAnsi="Times New Roman" w:cs="Times New Roman" w:hint="eastAsia"/>
        </w:rPr>
        <w:t>+</w:t>
      </w:r>
      <w:r>
        <w:rPr>
          <w:rFonts w:ascii="Times New Roman" w:eastAsia="楷体_GB2312" w:hAnsi="Times New Roman" w:cs="Times New Roman" w:hint="eastAsia"/>
        </w:rPr>
        <w:t>集团原计划在</w:t>
      </w:r>
      <w:r>
        <w:rPr>
          <w:rFonts w:ascii="Times New Roman" w:eastAsia="楷体_GB2312" w:hAnsi="Times New Roman" w:cs="Times New Roman" w:hint="eastAsia"/>
        </w:rPr>
        <w:t>12</w:t>
      </w:r>
      <w:r>
        <w:rPr>
          <w:rFonts w:ascii="Times New Roman" w:eastAsia="楷体_GB2312" w:hAnsi="Times New Roman" w:cs="Times New Roman" w:hint="eastAsia"/>
        </w:rPr>
        <w:t>月将日产量提高</w:t>
      </w:r>
      <w:r>
        <w:rPr>
          <w:rFonts w:ascii="Times New Roman" w:eastAsia="楷体_GB2312" w:hAnsi="Times New Roman" w:cs="Times New Roman" w:hint="eastAsia"/>
        </w:rPr>
        <w:t>18</w:t>
      </w:r>
      <w:r>
        <w:rPr>
          <w:rFonts w:ascii="Times New Roman" w:eastAsia="楷体_GB2312" w:hAnsi="Times New Roman" w:cs="Times New Roman" w:hint="eastAsia"/>
        </w:rPr>
        <w:t>万桶。</w:t>
      </w:r>
    </w:p>
    <w:p w14:paraId="4A37406B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3B1FC667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6</w:t>
      </w:r>
      <w:r>
        <w:rPr>
          <w:rFonts w:ascii="Times New Roman" w:eastAsia="楷体_GB2312" w:hAnsi="Times New Roman" w:cs="Times New Roman" w:hint="eastAsia"/>
        </w:rPr>
        <w:t>、国泰君安换股合并海通证券已获上海市政府批复同意。</w:t>
      </w:r>
    </w:p>
    <w:p w14:paraId="7573A93A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752CB638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7</w:t>
      </w:r>
      <w:r>
        <w:rPr>
          <w:rFonts w:ascii="Times New Roman" w:eastAsia="楷体_GB2312" w:hAnsi="Times New Roman" w:cs="Times New Roman" w:hint="eastAsia"/>
        </w:rPr>
        <w:t>、美联储如期降息</w:t>
      </w:r>
      <w:r>
        <w:rPr>
          <w:rFonts w:ascii="Times New Roman" w:eastAsia="楷体_GB2312" w:hAnsi="Times New Roman" w:cs="Times New Roman" w:hint="eastAsia"/>
        </w:rPr>
        <w:t>25</w:t>
      </w:r>
      <w:r>
        <w:rPr>
          <w:rFonts w:ascii="Times New Roman" w:eastAsia="楷体_GB2312" w:hAnsi="Times New Roman" w:cs="Times New Roman" w:hint="eastAsia"/>
        </w:rPr>
        <w:t>个基点，决议声明表示就业和通胀目标所面临的风险“大致平衡”，但决议声明删除了关于“在抗通胀问题上获得信心”的表述。决议声明的部分调整引起一些人猜测，是否在暗示不排除</w:t>
      </w:r>
      <w:r>
        <w:rPr>
          <w:rFonts w:ascii="Times New Roman" w:eastAsia="楷体_GB2312" w:hAnsi="Times New Roman" w:cs="Times New Roman" w:hint="eastAsia"/>
        </w:rPr>
        <w:t>12</w:t>
      </w:r>
      <w:r>
        <w:rPr>
          <w:rFonts w:ascii="Times New Roman" w:eastAsia="楷体_GB2312" w:hAnsi="Times New Roman" w:cs="Times New Roman" w:hint="eastAsia"/>
        </w:rPr>
        <w:t>月暂停降息的可能。本次利率决议获得一致通过。决议公布后，美股波动不大，基本维持日内涨势。美元短线拉涨，日内跌幅收窄，美债收益率跌幅收窄，黄金短线小幅走高。</w:t>
      </w:r>
    </w:p>
    <w:p w14:paraId="6A79133E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10C59F2D" w14:textId="77777777" w:rsidR="00E04867" w:rsidRDefault="0000000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lastRenderedPageBreak/>
        <w:t>8</w:t>
      </w:r>
      <w:r>
        <w:rPr>
          <w:rFonts w:ascii="Times New Roman" w:eastAsia="楷体_GB2312" w:hAnsi="Times New Roman" w:cs="Times New Roman" w:hint="eastAsia"/>
        </w:rPr>
        <w:t>、今年前</w:t>
      </w:r>
      <w:r>
        <w:rPr>
          <w:rFonts w:ascii="Times New Roman" w:eastAsia="楷体_GB2312" w:hAnsi="Times New Roman" w:cs="Times New Roman" w:hint="eastAsia"/>
        </w:rPr>
        <w:t>10</w:t>
      </w:r>
      <w:r>
        <w:rPr>
          <w:rFonts w:ascii="Times New Roman" w:eastAsia="楷体_GB2312" w:hAnsi="Times New Roman" w:cs="Times New Roman" w:hint="eastAsia"/>
        </w:rPr>
        <w:t>个月我国外贸实现平稳增长。据海关统计，前</w:t>
      </w:r>
      <w:r>
        <w:rPr>
          <w:rFonts w:ascii="Times New Roman" w:eastAsia="楷体_GB2312" w:hAnsi="Times New Roman" w:cs="Times New Roman" w:hint="eastAsia"/>
        </w:rPr>
        <w:t>10</w:t>
      </w:r>
      <w:r>
        <w:rPr>
          <w:rFonts w:ascii="Times New Roman" w:eastAsia="楷体_GB2312" w:hAnsi="Times New Roman" w:cs="Times New Roman" w:hint="eastAsia"/>
        </w:rPr>
        <w:t>个月我国货物贸易进出口总值</w:t>
      </w:r>
      <w:r>
        <w:rPr>
          <w:rFonts w:ascii="Times New Roman" w:eastAsia="楷体_GB2312" w:hAnsi="Times New Roman" w:cs="Times New Roman" w:hint="eastAsia"/>
        </w:rPr>
        <w:t>36.02</w:t>
      </w:r>
      <w:proofErr w:type="gramStart"/>
      <w:r>
        <w:rPr>
          <w:rFonts w:ascii="Times New Roman" w:eastAsia="楷体_GB2312" w:hAnsi="Times New Roman" w:cs="Times New Roman" w:hint="eastAsia"/>
        </w:rPr>
        <w:t>万亿</w:t>
      </w:r>
      <w:proofErr w:type="gramEnd"/>
      <w:r>
        <w:rPr>
          <w:rFonts w:ascii="Times New Roman" w:eastAsia="楷体_GB2312" w:hAnsi="Times New Roman" w:cs="Times New Roman" w:hint="eastAsia"/>
        </w:rPr>
        <w:t>元，同比增长</w:t>
      </w:r>
      <w:r>
        <w:rPr>
          <w:rFonts w:ascii="Times New Roman" w:eastAsia="楷体_GB2312" w:hAnsi="Times New Roman" w:cs="Times New Roman" w:hint="eastAsia"/>
        </w:rPr>
        <w:t>5.2%</w:t>
      </w:r>
      <w:r>
        <w:rPr>
          <w:rFonts w:ascii="Times New Roman" w:eastAsia="楷体_GB2312" w:hAnsi="Times New Roman" w:cs="Times New Roman" w:hint="eastAsia"/>
        </w:rPr>
        <w:t>。其中，出口</w:t>
      </w:r>
      <w:r>
        <w:rPr>
          <w:rFonts w:ascii="Times New Roman" w:eastAsia="楷体_GB2312" w:hAnsi="Times New Roman" w:cs="Times New Roman" w:hint="eastAsia"/>
        </w:rPr>
        <w:t>20.8</w:t>
      </w:r>
      <w:proofErr w:type="gramStart"/>
      <w:r>
        <w:rPr>
          <w:rFonts w:ascii="Times New Roman" w:eastAsia="楷体_GB2312" w:hAnsi="Times New Roman" w:cs="Times New Roman" w:hint="eastAsia"/>
        </w:rPr>
        <w:t>万亿</w:t>
      </w:r>
      <w:proofErr w:type="gramEnd"/>
      <w:r>
        <w:rPr>
          <w:rFonts w:ascii="Times New Roman" w:eastAsia="楷体_GB2312" w:hAnsi="Times New Roman" w:cs="Times New Roman" w:hint="eastAsia"/>
        </w:rPr>
        <w:t>元，增长</w:t>
      </w:r>
      <w:r>
        <w:rPr>
          <w:rFonts w:ascii="Times New Roman" w:eastAsia="楷体_GB2312" w:hAnsi="Times New Roman" w:cs="Times New Roman" w:hint="eastAsia"/>
        </w:rPr>
        <w:t>6.7%</w:t>
      </w:r>
      <w:r>
        <w:rPr>
          <w:rFonts w:ascii="Times New Roman" w:eastAsia="楷体_GB2312" w:hAnsi="Times New Roman" w:cs="Times New Roman" w:hint="eastAsia"/>
        </w:rPr>
        <w:t>；进口</w:t>
      </w:r>
      <w:r>
        <w:rPr>
          <w:rFonts w:ascii="Times New Roman" w:eastAsia="楷体_GB2312" w:hAnsi="Times New Roman" w:cs="Times New Roman" w:hint="eastAsia"/>
        </w:rPr>
        <w:t>15.22</w:t>
      </w:r>
      <w:proofErr w:type="gramStart"/>
      <w:r>
        <w:rPr>
          <w:rFonts w:ascii="Times New Roman" w:eastAsia="楷体_GB2312" w:hAnsi="Times New Roman" w:cs="Times New Roman" w:hint="eastAsia"/>
        </w:rPr>
        <w:t>万亿</w:t>
      </w:r>
      <w:proofErr w:type="gramEnd"/>
      <w:r>
        <w:rPr>
          <w:rFonts w:ascii="Times New Roman" w:eastAsia="楷体_GB2312" w:hAnsi="Times New Roman" w:cs="Times New Roman" w:hint="eastAsia"/>
        </w:rPr>
        <w:t>元，增长</w:t>
      </w:r>
      <w:r>
        <w:rPr>
          <w:rFonts w:ascii="Times New Roman" w:eastAsia="楷体_GB2312" w:hAnsi="Times New Roman" w:cs="Times New Roman" w:hint="eastAsia"/>
        </w:rPr>
        <w:t>3.2%</w:t>
      </w:r>
      <w:r>
        <w:rPr>
          <w:rFonts w:ascii="Times New Roman" w:eastAsia="楷体_GB2312" w:hAnsi="Times New Roman" w:cs="Times New Roman" w:hint="eastAsia"/>
        </w:rPr>
        <w:t>；贸易顺差</w:t>
      </w:r>
      <w:r>
        <w:rPr>
          <w:rFonts w:ascii="Times New Roman" w:eastAsia="楷体_GB2312" w:hAnsi="Times New Roman" w:cs="Times New Roman" w:hint="eastAsia"/>
        </w:rPr>
        <w:t>5.58</w:t>
      </w:r>
      <w:proofErr w:type="gramStart"/>
      <w:r>
        <w:rPr>
          <w:rFonts w:ascii="Times New Roman" w:eastAsia="楷体_GB2312" w:hAnsi="Times New Roman" w:cs="Times New Roman" w:hint="eastAsia"/>
        </w:rPr>
        <w:t>万亿</w:t>
      </w:r>
      <w:proofErr w:type="gramEnd"/>
      <w:r>
        <w:rPr>
          <w:rFonts w:ascii="Times New Roman" w:eastAsia="楷体_GB2312" w:hAnsi="Times New Roman" w:cs="Times New Roman" w:hint="eastAsia"/>
        </w:rPr>
        <w:t>元，扩大</w:t>
      </w:r>
      <w:r>
        <w:rPr>
          <w:rFonts w:ascii="Times New Roman" w:eastAsia="楷体_GB2312" w:hAnsi="Times New Roman" w:cs="Times New Roman" w:hint="eastAsia"/>
        </w:rPr>
        <w:t>17.6%</w:t>
      </w:r>
      <w:r>
        <w:rPr>
          <w:rFonts w:ascii="Times New Roman" w:eastAsia="楷体_GB2312" w:hAnsi="Times New Roman" w:cs="Times New Roman" w:hint="eastAsia"/>
        </w:rPr>
        <w:t>。</w:t>
      </w:r>
      <w:r>
        <w:rPr>
          <w:rFonts w:ascii="Times New Roman" w:eastAsia="楷体_GB2312" w:hAnsi="Times New Roman" w:cs="Times New Roman" w:hint="eastAsia"/>
        </w:rPr>
        <w:t>10</w:t>
      </w:r>
      <w:r>
        <w:rPr>
          <w:rFonts w:ascii="Times New Roman" w:eastAsia="楷体_GB2312" w:hAnsi="Times New Roman" w:cs="Times New Roman" w:hint="eastAsia"/>
        </w:rPr>
        <w:t>月当月，中国出口同比增长</w:t>
      </w:r>
      <w:r>
        <w:rPr>
          <w:rFonts w:ascii="Times New Roman" w:eastAsia="楷体_GB2312" w:hAnsi="Times New Roman" w:cs="Times New Roman" w:hint="eastAsia"/>
        </w:rPr>
        <w:t>11.2%</w:t>
      </w:r>
      <w:r>
        <w:rPr>
          <w:rFonts w:ascii="Times New Roman" w:eastAsia="楷体_GB2312" w:hAnsi="Times New Roman" w:cs="Times New Roman" w:hint="eastAsia"/>
        </w:rPr>
        <w:t>，进口下降</w:t>
      </w:r>
      <w:r>
        <w:rPr>
          <w:rFonts w:ascii="Times New Roman" w:eastAsia="楷体_GB2312" w:hAnsi="Times New Roman" w:cs="Times New Roman" w:hint="eastAsia"/>
        </w:rPr>
        <w:t>3.7%</w:t>
      </w:r>
      <w:r>
        <w:rPr>
          <w:rFonts w:ascii="Times New Roman" w:eastAsia="楷体_GB2312" w:hAnsi="Times New Roman" w:cs="Times New Roman" w:hint="eastAsia"/>
        </w:rPr>
        <w:t>，贸易顺差</w:t>
      </w:r>
      <w:r>
        <w:rPr>
          <w:rFonts w:ascii="Times New Roman" w:eastAsia="楷体_GB2312" w:hAnsi="Times New Roman" w:cs="Times New Roman" w:hint="eastAsia"/>
        </w:rPr>
        <w:t>6791</w:t>
      </w:r>
      <w:r>
        <w:rPr>
          <w:rFonts w:ascii="Times New Roman" w:eastAsia="楷体_GB2312" w:hAnsi="Times New Roman" w:cs="Times New Roman" w:hint="eastAsia"/>
        </w:rPr>
        <w:t>亿元。</w:t>
      </w:r>
    </w:p>
    <w:p w14:paraId="2ACC1087" w14:textId="77777777" w:rsidR="00E04867" w:rsidRDefault="00E04867">
      <w:pPr>
        <w:rPr>
          <w:rFonts w:ascii="Times New Roman" w:eastAsia="楷体_GB2312" w:hAnsi="Times New Roman" w:cs="Times New Roman"/>
        </w:rPr>
      </w:pPr>
    </w:p>
    <w:p w14:paraId="346CCAF2" w14:textId="77777777" w:rsidR="00E04867" w:rsidRDefault="00E04867">
      <w:pPr>
        <w:pStyle w:val="1"/>
        <w:spacing w:before="156" w:after="156"/>
        <w:rPr>
          <w:b/>
          <w:bCs/>
          <w:color w:val="262626" w:themeColor="text1" w:themeTint="D9"/>
        </w:rPr>
      </w:pPr>
    </w:p>
    <w:p w14:paraId="288EB0D3" w14:textId="77777777" w:rsidR="00E04867" w:rsidRDefault="00000000">
      <w:pPr>
        <w:pStyle w:val="3"/>
        <w:numPr>
          <w:ilvl w:val="0"/>
          <w:numId w:val="0"/>
        </w:numPr>
        <w:rPr>
          <w:rFonts w:cs="Arial"/>
          <w:sz w:val="24"/>
        </w:rPr>
      </w:pPr>
      <w:r>
        <w:rPr>
          <w:rFonts w:asciiTheme="minorEastAsia" w:eastAsiaTheme="minorEastAsia" w:hAnsiTheme="minorEastAsia" w:cs="Arial"/>
        </w:rPr>
        <w:t>3</w:t>
      </w:r>
      <w:r>
        <w:rPr>
          <w:rFonts w:cs="Arial"/>
        </w:rPr>
        <w:t xml:space="preserve">. </w:t>
      </w:r>
      <w:r>
        <w:rPr>
          <w:rFonts w:cs="Arial" w:hint="eastAsia"/>
        </w:rPr>
        <w:t>市场展望</w:t>
      </w:r>
      <w:r>
        <w:rPr>
          <w:rFonts w:cs="Arial" w:hint="eastAsia"/>
          <w:sz w:val="24"/>
        </w:rPr>
        <w:t>：</w:t>
      </w:r>
    </w:p>
    <w:p w14:paraId="052245A7" w14:textId="77777777" w:rsidR="00E04867" w:rsidRDefault="00000000">
      <w:pPr>
        <w:pStyle w:val="1"/>
        <w:spacing w:before="156" w:after="156"/>
        <w:rPr>
          <w:rFonts w:cs="Arial"/>
          <w:color w:val="262626" w:themeColor="text1" w:themeTint="D9"/>
        </w:rPr>
      </w:pPr>
      <w:r>
        <w:rPr>
          <w:rFonts w:cs="Arial" w:hint="eastAsia"/>
          <w:color w:val="262626" w:themeColor="text1" w:themeTint="D9"/>
        </w:rPr>
        <w:t>1</w:t>
      </w:r>
      <w:r>
        <w:rPr>
          <w:rFonts w:cs="Arial" w:hint="eastAsia"/>
          <w:color w:val="262626" w:themeColor="text1" w:themeTint="D9"/>
        </w:rPr>
        <w:t>、</w:t>
      </w:r>
    </w:p>
    <w:p w14:paraId="0ED6D796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631946A5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5BB807C6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3E0F1CFC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64D7B228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41DA94BA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7988887F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05E963AE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65A1C148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0980D468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2E6146D1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tbl>
      <w:tblPr>
        <w:tblStyle w:val="10"/>
        <w:tblW w:w="10101" w:type="dxa"/>
        <w:tblLayout w:type="fixed"/>
        <w:tblLook w:val="04A0" w:firstRow="1" w:lastRow="0" w:firstColumn="1" w:lastColumn="0" w:noHBand="0" w:noVBand="1"/>
      </w:tblPr>
      <w:tblGrid>
        <w:gridCol w:w="10101"/>
      </w:tblGrid>
      <w:tr w:rsidR="00E04867" w14:paraId="78DA5D18" w14:textId="77777777">
        <w:tc>
          <w:tcPr>
            <w:tcW w:w="10101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</w:tcPr>
          <w:p w14:paraId="64E679C5" w14:textId="77777777" w:rsidR="00E04867" w:rsidRDefault="00000000">
            <w:pPr>
              <w:pStyle w:val="21"/>
              <w:rPr>
                <w:rFonts w:cs="Arial"/>
                <w:color w:val="262626" w:themeColor="text1" w:themeTint="D9"/>
                <w:kern w:val="0"/>
              </w:rPr>
            </w:pPr>
            <w:r>
              <w:rPr>
                <w:rFonts w:cs="Arial"/>
                <w:color w:val="262626" w:themeColor="text1" w:themeTint="D9"/>
                <w:kern w:val="0"/>
              </w:rPr>
              <w:br w:type="page"/>
            </w:r>
            <w:r>
              <w:rPr>
                <w:rFonts w:cs="Arial"/>
                <w:color w:val="262626" w:themeColor="text1" w:themeTint="D9"/>
                <w:kern w:val="0"/>
              </w:rPr>
              <w:t>图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begin"/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SEQ 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>图</w:instrText>
            </w:r>
            <w:r>
              <w:rPr>
                <w:rFonts w:cs="Arial"/>
                <w:color w:val="262626" w:themeColor="text1" w:themeTint="D9"/>
                <w:kern w:val="0"/>
              </w:rPr>
              <w:instrText xml:space="preserve"> \* ARABIC  \* MERGEFORMAT </w:instrTex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separate"/>
            </w:r>
            <w:r>
              <w:rPr>
                <w:rFonts w:cs="Arial"/>
                <w:color w:val="262626" w:themeColor="text1" w:themeTint="D9"/>
                <w:kern w:val="0"/>
              </w:rPr>
              <w:t>5</w:t>
            </w:r>
            <w:r>
              <w:rPr>
                <w:rFonts w:cs="Arial"/>
                <w:color w:val="262626" w:themeColor="text1" w:themeTint="D9"/>
                <w:kern w:val="0"/>
              </w:rPr>
              <w:fldChar w:fldCharType="end"/>
            </w:r>
            <w:r>
              <w:rPr>
                <w:rFonts w:cs="Arial"/>
                <w:color w:val="262626" w:themeColor="text1" w:themeTint="D9"/>
                <w:kern w:val="0"/>
              </w:rPr>
              <w:t>：</w:t>
            </w:r>
            <w:r>
              <w:rPr>
                <w:rFonts w:cs="Arial" w:hint="eastAsia"/>
                <w:color w:val="262626" w:themeColor="text1" w:themeTint="D9"/>
                <w:kern w:val="0"/>
              </w:rPr>
              <w:t>本周涨跌幅逻辑</w:t>
            </w:r>
          </w:p>
        </w:tc>
      </w:tr>
      <w:tr w:rsidR="00E04867" w14:paraId="4B706C8D" w14:textId="77777777">
        <w:trPr>
          <w:trHeight w:val="4110"/>
        </w:trPr>
        <w:tc>
          <w:tcPr>
            <w:tcW w:w="10101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auto"/>
          </w:tcPr>
          <w:tbl>
            <w:tblPr>
              <w:tblW w:w="9902" w:type="dxa"/>
              <w:tblBorders>
                <w:top w:val="single" w:sz="4" w:space="0" w:color="0070C0"/>
                <w:left w:val="single" w:sz="4" w:space="0" w:color="0070C0"/>
                <w:bottom w:val="single" w:sz="4" w:space="0" w:color="0070C0"/>
                <w:right w:val="single" w:sz="4" w:space="0" w:color="0070C0"/>
                <w:insideH w:val="single" w:sz="4" w:space="0" w:color="0070C0"/>
                <w:insideV w:val="single" w:sz="4" w:space="0" w:color="0070C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6994"/>
              <w:gridCol w:w="1514"/>
            </w:tblGrid>
            <w:tr w:rsidR="00E04867" w14:paraId="00FA5A10" w14:textId="77777777">
              <w:trPr>
                <w:trHeight w:val="18"/>
              </w:trPr>
              <w:tc>
                <w:tcPr>
                  <w:tcW w:w="139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C325C73" w14:textId="77777777" w:rsidR="00E04867" w:rsidRDefault="00000000">
                  <w:pPr>
                    <w:jc w:val="center"/>
                    <w:rPr>
                      <w:rFonts w:ascii="Arial" w:eastAsia="华文楷体" w:hAnsi="Arial" w:cs="Arial"/>
                      <w:color w:val="FFFFFF" w:themeColor="background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华文楷体" w:hAnsi="Arial" w:cs="Arial" w:hint="eastAsia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</w:rPr>
                    <w:t>时间</w:t>
                  </w:r>
                </w:p>
              </w:tc>
              <w:tc>
                <w:tcPr>
                  <w:tcW w:w="699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31195FF" w14:textId="77777777" w:rsidR="00E04867" w:rsidRDefault="00000000">
                  <w:pPr>
                    <w:jc w:val="center"/>
                    <w:rPr>
                      <w:rFonts w:ascii="Arial" w:eastAsia="华文楷体" w:hAnsi="Arial" w:cs="Arial"/>
                      <w:color w:val="FFFFFF" w:themeColor="background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华文楷体" w:hAnsi="Arial" w:cs="Arial" w:hint="eastAsia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</w:rPr>
                    <w:t>事件及逻辑</w:t>
                  </w:r>
                </w:p>
              </w:tc>
              <w:tc>
                <w:tcPr>
                  <w:tcW w:w="1514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4B438F8" w14:textId="77777777" w:rsidR="00E04867" w:rsidRDefault="00000000">
                  <w:pPr>
                    <w:jc w:val="center"/>
                    <w:rPr>
                      <w:rFonts w:ascii="Arial" w:eastAsia="华文楷体" w:hAnsi="Arial" w:cs="Arial"/>
                      <w:color w:val="FFFFFF" w:themeColor="background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eastAsia="华文楷体" w:hAnsi="Arial" w:cs="Arial" w:hint="eastAsia"/>
                      <w:b/>
                      <w:bCs/>
                      <w:color w:val="FFFFFF" w:themeColor="background1"/>
                      <w:kern w:val="0"/>
                      <w:sz w:val="20"/>
                      <w:szCs w:val="20"/>
                    </w:rPr>
                    <w:t>行业</w:t>
                  </w:r>
                </w:p>
              </w:tc>
            </w:tr>
            <w:tr w:rsidR="00E04867" w14:paraId="611AB9DA" w14:textId="77777777">
              <w:trPr>
                <w:trHeight w:val="558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F5DD4BB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000000" w:themeColor="text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2022/10/27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DB6D742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A6CF5B4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FF0000"/>
                      <w:kern w:val="24"/>
                    </w:rPr>
                    <w:t>军工</w:t>
                  </w:r>
                </w:p>
              </w:tc>
            </w:tr>
            <w:tr w:rsidR="00E04867" w14:paraId="42572DFB" w14:textId="77777777">
              <w:trPr>
                <w:trHeight w:val="558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958DAA0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000000" w:themeColor="text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2022/10/27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40C824AF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000000" w:themeColor="text1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9343161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00B050"/>
                      <w:kern w:val="24"/>
                    </w:rPr>
                    <w:t>A股</w:t>
                  </w:r>
                </w:p>
              </w:tc>
            </w:tr>
            <w:tr w:rsidR="00E04867" w14:paraId="10C30CB3" w14:textId="77777777">
              <w:trPr>
                <w:trHeight w:val="610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58BC48F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2022/10/27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E007BA3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394064F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FF0000"/>
                      <w:kern w:val="24"/>
                    </w:rPr>
                    <w:t>计算机、</w:t>
                  </w:r>
                  <w:proofErr w:type="gramStart"/>
                  <w:r>
                    <w:rPr>
                      <w:rFonts w:ascii="楷体" w:eastAsia="楷体" w:hAnsi="楷体" w:cs="Arial" w:hint="eastAsia"/>
                      <w:b/>
                      <w:bCs/>
                      <w:color w:val="FF0000"/>
                      <w:kern w:val="24"/>
                    </w:rPr>
                    <w:t>信创</w:t>
                  </w:r>
                  <w:proofErr w:type="gramEnd"/>
                </w:p>
              </w:tc>
            </w:tr>
            <w:tr w:rsidR="00E04867" w14:paraId="33880EF1" w14:textId="77777777">
              <w:trPr>
                <w:trHeight w:val="610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5CAD637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2022/10/26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188D5BE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97CCB18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B050"/>
                      <w:kern w:val="24"/>
                    </w:rPr>
                    <w:t>白酒、消费</w:t>
                  </w:r>
                </w:p>
              </w:tc>
            </w:tr>
            <w:tr w:rsidR="00E04867" w14:paraId="6990A0F7" w14:textId="77777777">
              <w:trPr>
                <w:trHeight w:val="610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5B20860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2022/10/24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9F7EFAB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7B22DB7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FF0000"/>
                      <w:kern w:val="24"/>
                    </w:rPr>
                    <w:t>军工</w:t>
                  </w:r>
                </w:p>
              </w:tc>
            </w:tr>
            <w:tr w:rsidR="00E04867" w14:paraId="5495C0B5" w14:textId="77777777">
              <w:trPr>
                <w:trHeight w:val="610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C7C1B9D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2022/10/24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03C47D9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539D4CBD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FF0000"/>
                      <w:kern w:val="24"/>
                    </w:rPr>
                    <w:t>军工</w:t>
                  </w:r>
                </w:p>
              </w:tc>
            </w:tr>
            <w:tr w:rsidR="00E04867" w14:paraId="10F100D3" w14:textId="77777777">
              <w:trPr>
                <w:trHeight w:val="610"/>
              </w:trPr>
              <w:tc>
                <w:tcPr>
                  <w:tcW w:w="13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00EB5A0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color w:val="000000" w:themeColor="text1"/>
                      <w:kern w:val="24"/>
                    </w:rPr>
                    <w:t>2022/10/24</w:t>
                  </w:r>
                </w:p>
              </w:tc>
              <w:tc>
                <w:tcPr>
                  <w:tcW w:w="699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F5A74BF" w14:textId="77777777" w:rsidR="00E04867" w:rsidRDefault="00E04867">
                  <w:pPr>
                    <w:jc w:val="left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4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C3D9103" w14:textId="77777777" w:rsidR="00E04867" w:rsidRDefault="00000000">
                  <w:pPr>
                    <w:jc w:val="center"/>
                    <w:rPr>
                      <w:rFonts w:ascii="楷体" w:eastAsia="楷体" w:hAnsi="楷体" w:cs="Arial" w:hint="eastAsia"/>
                      <w:color w:val="4D4D4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楷体" w:eastAsia="楷体" w:hAnsi="楷体" w:cs="Arial" w:hint="eastAsia"/>
                      <w:b/>
                      <w:bCs/>
                      <w:color w:val="00B050"/>
                      <w:kern w:val="24"/>
                    </w:rPr>
                    <w:t>A股</w:t>
                  </w:r>
                </w:p>
              </w:tc>
            </w:tr>
          </w:tbl>
          <w:p w14:paraId="08B96550" w14:textId="77777777" w:rsidR="00E04867" w:rsidRDefault="00E04867">
            <w:pPr>
              <w:jc w:val="center"/>
              <w:rPr>
                <w:rFonts w:ascii="Arial" w:eastAsia="华文楷体" w:hAnsi="Arial" w:cs="Arial"/>
                <w:color w:val="4D4D4F"/>
                <w:kern w:val="0"/>
                <w:sz w:val="20"/>
                <w:szCs w:val="20"/>
              </w:rPr>
            </w:pPr>
          </w:p>
        </w:tc>
      </w:tr>
      <w:tr w:rsidR="00E04867" w14:paraId="5378D227" w14:textId="77777777">
        <w:tc>
          <w:tcPr>
            <w:tcW w:w="10101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14:paraId="330149CB" w14:textId="77777777" w:rsidR="00E04867" w:rsidRDefault="00000000">
            <w:pPr>
              <w:pStyle w:val="22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资料来源：</w:t>
            </w:r>
            <w:r>
              <w:rPr>
                <w:rFonts w:cs="Arial"/>
                <w:color w:val="262626" w:themeColor="text1" w:themeTint="D9"/>
              </w:rPr>
              <w:t>Wind</w:t>
            </w:r>
          </w:p>
        </w:tc>
      </w:tr>
    </w:tbl>
    <w:p w14:paraId="5D23011A" w14:textId="77777777" w:rsidR="00E04867" w:rsidRDefault="00E04867">
      <w:pPr>
        <w:pStyle w:val="1"/>
        <w:spacing w:before="156" w:after="156"/>
        <w:ind w:left="420"/>
        <w:rPr>
          <w:rFonts w:cs="Arial"/>
          <w:color w:val="262626" w:themeColor="text1" w:themeTint="D9"/>
        </w:rPr>
      </w:pPr>
    </w:p>
    <w:bookmarkEnd w:id="4"/>
    <w:p w14:paraId="22EE219B" w14:textId="77777777" w:rsidR="00E04867" w:rsidRDefault="00E04867">
      <w:pPr>
        <w:pStyle w:val="1"/>
        <w:spacing w:before="156" w:after="156"/>
        <w:ind w:left="420"/>
        <w:rPr>
          <w:rFonts w:cs="Arial"/>
          <w:color w:val="262626" w:themeColor="text1" w:themeTint="D9"/>
        </w:rPr>
      </w:pPr>
    </w:p>
    <w:p w14:paraId="248C0503" w14:textId="77777777" w:rsidR="00E04867" w:rsidRDefault="00E04867">
      <w:pPr>
        <w:pStyle w:val="1"/>
        <w:spacing w:before="156" w:after="156"/>
        <w:ind w:left="420"/>
        <w:rPr>
          <w:rFonts w:cs="Arial"/>
          <w:color w:val="262626" w:themeColor="text1" w:themeTint="D9"/>
        </w:rPr>
      </w:pPr>
    </w:p>
    <w:p w14:paraId="2AA9056E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31420F6C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p w14:paraId="4E56807E" w14:textId="77777777" w:rsidR="00E04867" w:rsidRDefault="00E04867">
      <w:pPr>
        <w:pStyle w:val="1"/>
        <w:spacing w:before="156" w:after="156"/>
        <w:rPr>
          <w:rFonts w:cs="Arial"/>
          <w:color w:val="262626" w:themeColor="text1" w:themeTint="D9"/>
        </w:rPr>
      </w:pPr>
    </w:p>
    <w:sectPr w:rsidR="00E048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964" w:bottom="851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06E41" w14:textId="77777777" w:rsidR="00F263E3" w:rsidRDefault="00F263E3">
      <w:pPr>
        <w:rPr>
          <w:rFonts w:hint="eastAsia"/>
        </w:rPr>
      </w:pPr>
      <w:r>
        <w:separator/>
      </w:r>
    </w:p>
  </w:endnote>
  <w:endnote w:type="continuationSeparator" w:id="0">
    <w:p w14:paraId="792C01F6" w14:textId="77777777" w:rsidR="00F263E3" w:rsidRDefault="00F263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黑体">
    <w:altName w:val="Malgun Gothic Semilight"/>
    <w:charset w:val="86"/>
    <w:family w:val="auto"/>
    <w:pitch w:val="default"/>
    <w:sig w:usb0="00000000" w:usb1="00000000" w:usb2="00020017" w:usb3="00000000" w:csb0="0016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5091A" w14:textId="77777777" w:rsidR="00E04867" w:rsidRDefault="00E04867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C61D" w14:textId="77777777" w:rsidR="00E04867" w:rsidRDefault="00E04867">
    <w:pPr>
      <w:pStyle w:val="a3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5047C" w14:textId="77777777" w:rsidR="00E04867" w:rsidRDefault="00E04867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3D2FF" w14:textId="77777777" w:rsidR="00F263E3" w:rsidRDefault="00F263E3">
      <w:pPr>
        <w:rPr>
          <w:rFonts w:hint="eastAsia"/>
        </w:rPr>
      </w:pPr>
      <w:r>
        <w:separator/>
      </w:r>
    </w:p>
  </w:footnote>
  <w:footnote w:type="continuationSeparator" w:id="0">
    <w:p w14:paraId="7C258BAC" w14:textId="77777777" w:rsidR="00F263E3" w:rsidRDefault="00F263E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929B" w14:textId="77777777" w:rsidR="00E04867" w:rsidRDefault="00E04867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5693" w14:textId="77777777" w:rsidR="00E04867" w:rsidRDefault="00E04867">
    <w:pPr>
      <w:pStyle w:val="a5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EBBB7" w14:textId="77777777" w:rsidR="00E04867" w:rsidRDefault="00E04867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D0253"/>
    <w:multiLevelType w:val="multilevel"/>
    <w:tmpl w:val="7ABD0253"/>
    <w:lvl w:ilvl="0">
      <w:start w:val="1"/>
      <w:numFmt w:val="decimal"/>
      <w:pStyle w:val="3"/>
      <w:suff w:val="space"/>
      <w:lvlText w:val="%1."/>
      <w:lvlJc w:val="left"/>
      <w:pPr>
        <w:ind w:left="3261" w:firstLine="0"/>
      </w:pPr>
      <w:rPr>
        <w:rFonts w:ascii="等线" w:eastAsia="华文楷体" w:hAnsi="等线" w:hint="default"/>
        <w:b/>
        <w:i w:val="0"/>
        <w:color w:val="F58220"/>
        <w:sz w:val="28"/>
      </w:rPr>
    </w:lvl>
    <w:lvl w:ilvl="1">
      <w:start w:val="1"/>
      <w:numFmt w:val="decimal"/>
      <w:pStyle w:val="4"/>
      <w:suff w:val="space"/>
      <w:lvlText w:val="%1.%2."/>
      <w:lvlJc w:val="left"/>
      <w:pPr>
        <w:ind w:left="2127" w:firstLine="0"/>
      </w:pPr>
      <w:rPr>
        <w:rFonts w:ascii="等线" w:eastAsia="华文楷体" w:hAnsi="等线" w:hint="default"/>
        <w:b/>
        <w:i w:val="0"/>
        <w:color w:val="F58220"/>
        <w:sz w:val="24"/>
      </w:rPr>
    </w:lvl>
    <w:lvl w:ilvl="2">
      <w:start w:val="1"/>
      <w:numFmt w:val="decimal"/>
      <w:pStyle w:val="5"/>
      <w:suff w:val="space"/>
      <w:lvlText w:val="%1.%2.%3."/>
      <w:lvlJc w:val="left"/>
      <w:pPr>
        <w:ind w:left="2160" w:firstLine="0"/>
      </w:pPr>
      <w:rPr>
        <w:rFonts w:ascii="等线" w:eastAsia="华文楷体" w:hAnsi="等线" w:hint="default"/>
        <w:b/>
        <w:i w:val="0"/>
        <w:color w:val="F58220"/>
        <w:sz w:val="21"/>
      </w:rPr>
    </w:lvl>
    <w:lvl w:ilvl="3">
      <w:start w:val="1"/>
      <w:numFmt w:val="decimal"/>
      <w:pStyle w:val="6"/>
      <w:suff w:val="space"/>
      <w:lvlText w:val="%1.%2.%3.%4."/>
      <w:lvlJc w:val="left"/>
      <w:pPr>
        <w:ind w:left="2160" w:firstLine="0"/>
      </w:pPr>
      <w:rPr>
        <w:rFonts w:ascii="等线" w:eastAsia="华文楷体" w:hAnsi="等线" w:hint="default"/>
        <w:color w:val="4D4D4F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24502261">
    <w:abstractNumId w:val="0"/>
    <w:lvlOverride w:ilvl="0">
      <w:lvl w:ilvl="0" w:tentative="1">
        <w:start w:val="1"/>
        <w:numFmt w:val="decimal"/>
        <w:pStyle w:val="3"/>
        <w:suff w:val="space"/>
        <w:lvlText w:val="%1."/>
        <w:lvlJc w:val="left"/>
        <w:pPr>
          <w:ind w:left="-2568" w:firstLine="0"/>
        </w:pPr>
        <w:rPr>
          <w:rFonts w:ascii="等线" w:eastAsia="华文楷体" w:hAnsi="等线" w:hint="default"/>
          <w:b/>
          <w:i w:val="0"/>
          <w:color w:val="0070C0"/>
          <w:sz w:val="28"/>
        </w:rPr>
      </w:lvl>
    </w:lvlOverride>
    <w:lvlOverride w:ilvl="1">
      <w:lvl w:ilvl="1" w:tentative="1">
        <w:start w:val="1"/>
        <w:numFmt w:val="decimal"/>
        <w:pStyle w:val="4"/>
        <w:suff w:val="space"/>
        <w:lvlText w:val="%1.%2."/>
        <w:lvlJc w:val="left"/>
        <w:pPr>
          <w:ind w:left="284" w:firstLine="0"/>
        </w:pPr>
        <w:rPr>
          <w:rFonts w:ascii="等线" w:eastAsia="华文楷体" w:hAnsi="等线" w:hint="default"/>
          <w:b/>
          <w:i w:val="0"/>
          <w:color w:val="0070C0"/>
          <w:sz w:val="24"/>
        </w:rPr>
      </w:lvl>
    </w:lvlOverride>
    <w:lvlOverride w:ilvl="2">
      <w:lvl w:ilvl="2" w:tentative="1">
        <w:start w:val="1"/>
        <w:numFmt w:val="decimal"/>
        <w:pStyle w:val="5"/>
        <w:suff w:val="space"/>
        <w:lvlText w:val="%1.%2.%3."/>
        <w:lvlJc w:val="left"/>
        <w:pPr>
          <w:ind w:left="-3669" w:firstLine="0"/>
        </w:pPr>
        <w:rPr>
          <w:rFonts w:ascii="等线" w:eastAsia="华文楷体" w:hAnsi="等线" w:hint="default"/>
          <w:b/>
          <w:i w:val="0"/>
          <w:color w:val="0070C0"/>
          <w:sz w:val="21"/>
        </w:rPr>
      </w:lvl>
    </w:lvlOverride>
    <w:lvlOverride w:ilvl="3">
      <w:lvl w:ilvl="3" w:tentative="1">
        <w:start w:val="1"/>
        <w:numFmt w:val="decimal"/>
        <w:pStyle w:val="6"/>
        <w:suff w:val="space"/>
        <w:lvlText w:val="%1.%2.%3.%4."/>
        <w:lvlJc w:val="left"/>
        <w:pPr>
          <w:ind w:left="-3669" w:firstLine="0"/>
        </w:pPr>
        <w:rPr>
          <w:rFonts w:ascii="等线" w:eastAsia="华文楷体" w:hAnsi="等线" w:hint="default"/>
          <w:color w:val="4D4D4F"/>
          <w:sz w:val="21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-3278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-2569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-2002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-1435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-727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YTk1Mjg3NzI3OTQ0YzJkNjYzNzEzMmUxNGQ1ODVkYWMifQ=="/>
  </w:docVars>
  <w:rsids>
    <w:rsidRoot w:val="00343510"/>
    <w:rsid w:val="000046F9"/>
    <w:rsid w:val="00021FAF"/>
    <w:rsid w:val="00026799"/>
    <w:rsid w:val="000333B2"/>
    <w:rsid w:val="00050773"/>
    <w:rsid w:val="000510BB"/>
    <w:rsid w:val="00054CB2"/>
    <w:rsid w:val="00060218"/>
    <w:rsid w:val="00070C98"/>
    <w:rsid w:val="0008003E"/>
    <w:rsid w:val="000A64FE"/>
    <w:rsid w:val="000B6105"/>
    <w:rsid w:val="000C67F8"/>
    <w:rsid w:val="000D1EB5"/>
    <w:rsid w:val="00117DCA"/>
    <w:rsid w:val="00151B65"/>
    <w:rsid w:val="0019334C"/>
    <w:rsid w:val="00197375"/>
    <w:rsid w:val="001C736C"/>
    <w:rsid w:val="001F0C24"/>
    <w:rsid w:val="001F4996"/>
    <w:rsid w:val="002043CC"/>
    <w:rsid w:val="00214C19"/>
    <w:rsid w:val="00282F73"/>
    <w:rsid w:val="002874A7"/>
    <w:rsid w:val="002A496F"/>
    <w:rsid w:val="002B08E2"/>
    <w:rsid w:val="002B7971"/>
    <w:rsid w:val="002D3BCC"/>
    <w:rsid w:val="002D72AD"/>
    <w:rsid w:val="00325B67"/>
    <w:rsid w:val="003326DB"/>
    <w:rsid w:val="00337CB2"/>
    <w:rsid w:val="00343510"/>
    <w:rsid w:val="0034696D"/>
    <w:rsid w:val="00353B69"/>
    <w:rsid w:val="003717B6"/>
    <w:rsid w:val="003842D7"/>
    <w:rsid w:val="00396023"/>
    <w:rsid w:val="003B088E"/>
    <w:rsid w:val="003B2986"/>
    <w:rsid w:val="003B7030"/>
    <w:rsid w:val="003C7270"/>
    <w:rsid w:val="003D73D9"/>
    <w:rsid w:val="003F601A"/>
    <w:rsid w:val="003F622D"/>
    <w:rsid w:val="0040440C"/>
    <w:rsid w:val="0041713C"/>
    <w:rsid w:val="00417400"/>
    <w:rsid w:val="004252E6"/>
    <w:rsid w:val="0043481C"/>
    <w:rsid w:val="004424BC"/>
    <w:rsid w:val="00490B06"/>
    <w:rsid w:val="00494CF7"/>
    <w:rsid w:val="004B2239"/>
    <w:rsid w:val="004D1B17"/>
    <w:rsid w:val="004D2FAA"/>
    <w:rsid w:val="004F6EE7"/>
    <w:rsid w:val="00513E63"/>
    <w:rsid w:val="00544FDD"/>
    <w:rsid w:val="00560807"/>
    <w:rsid w:val="00561816"/>
    <w:rsid w:val="005802BD"/>
    <w:rsid w:val="005967E9"/>
    <w:rsid w:val="005A25B8"/>
    <w:rsid w:val="005A51F3"/>
    <w:rsid w:val="005B6AF0"/>
    <w:rsid w:val="005C4E45"/>
    <w:rsid w:val="005F3948"/>
    <w:rsid w:val="005F4A37"/>
    <w:rsid w:val="006265F5"/>
    <w:rsid w:val="00665588"/>
    <w:rsid w:val="00674C74"/>
    <w:rsid w:val="00687604"/>
    <w:rsid w:val="006913B9"/>
    <w:rsid w:val="00693168"/>
    <w:rsid w:val="006C1188"/>
    <w:rsid w:val="006C76E0"/>
    <w:rsid w:val="006D232E"/>
    <w:rsid w:val="006D29EF"/>
    <w:rsid w:val="006D3B1B"/>
    <w:rsid w:val="006F040F"/>
    <w:rsid w:val="00704FDA"/>
    <w:rsid w:val="007172ED"/>
    <w:rsid w:val="00737BDA"/>
    <w:rsid w:val="007427A5"/>
    <w:rsid w:val="007508F7"/>
    <w:rsid w:val="0075292D"/>
    <w:rsid w:val="00762F21"/>
    <w:rsid w:val="007951AD"/>
    <w:rsid w:val="007A0666"/>
    <w:rsid w:val="007B12AB"/>
    <w:rsid w:val="007B6824"/>
    <w:rsid w:val="007C2D37"/>
    <w:rsid w:val="007C5533"/>
    <w:rsid w:val="007E1CB5"/>
    <w:rsid w:val="007E6EE6"/>
    <w:rsid w:val="008072B2"/>
    <w:rsid w:val="00807524"/>
    <w:rsid w:val="008120BC"/>
    <w:rsid w:val="00824DA4"/>
    <w:rsid w:val="0083519F"/>
    <w:rsid w:val="00837141"/>
    <w:rsid w:val="00841FF8"/>
    <w:rsid w:val="0085420D"/>
    <w:rsid w:val="00883D1B"/>
    <w:rsid w:val="0089360A"/>
    <w:rsid w:val="00896C9E"/>
    <w:rsid w:val="008D0C19"/>
    <w:rsid w:val="00906684"/>
    <w:rsid w:val="00910E67"/>
    <w:rsid w:val="00912413"/>
    <w:rsid w:val="00925000"/>
    <w:rsid w:val="00932C5D"/>
    <w:rsid w:val="00955D61"/>
    <w:rsid w:val="009944AA"/>
    <w:rsid w:val="009C73CF"/>
    <w:rsid w:val="009D49D3"/>
    <w:rsid w:val="009D60A6"/>
    <w:rsid w:val="00A11E09"/>
    <w:rsid w:val="00A177C5"/>
    <w:rsid w:val="00A448A2"/>
    <w:rsid w:val="00A514B5"/>
    <w:rsid w:val="00A56580"/>
    <w:rsid w:val="00A603F4"/>
    <w:rsid w:val="00A61295"/>
    <w:rsid w:val="00A622D1"/>
    <w:rsid w:val="00A7799D"/>
    <w:rsid w:val="00A853B1"/>
    <w:rsid w:val="00AA108D"/>
    <w:rsid w:val="00AA3B7C"/>
    <w:rsid w:val="00AB40DD"/>
    <w:rsid w:val="00AB4C01"/>
    <w:rsid w:val="00AB647D"/>
    <w:rsid w:val="00AC4926"/>
    <w:rsid w:val="00AE37B1"/>
    <w:rsid w:val="00AE45F3"/>
    <w:rsid w:val="00B00CBA"/>
    <w:rsid w:val="00B14518"/>
    <w:rsid w:val="00B220EB"/>
    <w:rsid w:val="00B23860"/>
    <w:rsid w:val="00B4755C"/>
    <w:rsid w:val="00B50AD8"/>
    <w:rsid w:val="00B6496F"/>
    <w:rsid w:val="00B678B5"/>
    <w:rsid w:val="00B70B6C"/>
    <w:rsid w:val="00B72C8E"/>
    <w:rsid w:val="00B92284"/>
    <w:rsid w:val="00BA4433"/>
    <w:rsid w:val="00BA78F7"/>
    <w:rsid w:val="00BB211B"/>
    <w:rsid w:val="00BB32FF"/>
    <w:rsid w:val="00BE0B52"/>
    <w:rsid w:val="00BE3EDE"/>
    <w:rsid w:val="00BE5FA5"/>
    <w:rsid w:val="00C05932"/>
    <w:rsid w:val="00C14EDF"/>
    <w:rsid w:val="00C34AB4"/>
    <w:rsid w:val="00C361CA"/>
    <w:rsid w:val="00C6239D"/>
    <w:rsid w:val="00C64238"/>
    <w:rsid w:val="00C87680"/>
    <w:rsid w:val="00CE0D00"/>
    <w:rsid w:val="00CF3926"/>
    <w:rsid w:val="00D25796"/>
    <w:rsid w:val="00D30918"/>
    <w:rsid w:val="00D33CC3"/>
    <w:rsid w:val="00D55B7E"/>
    <w:rsid w:val="00D56181"/>
    <w:rsid w:val="00D66CCC"/>
    <w:rsid w:val="00D7080F"/>
    <w:rsid w:val="00D723C8"/>
    <w:rsid w:val="00D80A83"/>
    <w:rsid w:val="00DA0BF4"/>
    <w:rsid w:val="00DD6D92"/>
    <w:rsid w:val="00DE048F"/>
    <w:rsid w:val="00DE115C"/>
    <w:rsid w:val="00DE2A3A"/>
    <w:rsid w:val="00DF39A3"/>
    <w:rsid w:val="00E030F6"/>
    <w:rsid w:val="00E04867"/>
    <w:rsid w:val="00E2018D"/>
    <w:rsid w:val="00E27A10"/>
    <w:rsid w:val="00E37CC3"/>
    <w:rsid w:val="00E505FF"/>
    <w:rsid w:val="00E50616"/>
    <w:rsid w:val="00E674B5"/>
    <w:rsid w:val="00E82C7B"/>
    <w:rsid w:val="00EC610B"/>
    <w:rsid w:val="00ED712A"/>
    <w:rsid w:val="00ED7216"/>
    <w:rsid w:val="00EE13D4"/>
    <w:rsid w:val="00EF0EBF"/>
    <w:rsid w:val="00F05B4C"/>
    <w:rsid w:val="00F07A30"/>
    <w:rsid w:val="00F24A65"/>
    <w:rsid w:val="00F263E3"/>
    <w:rsid w:val="00F4230F"/>
    <w:rsid w:val="00F43958"/>
    <w:rsid w:val="00FB1E50"/>
    <w:rsid w:val="00FC7FD6"/>
    <w:rsid w:val="00FE232D"/>
    <w:rsid w:val="00FE2AD7"/>
    <w:rsid w:val="00FF2CF8"/>
    <w:rsid w:val="00FF5EBF"/>
    <w:rsid w:val="05394B20"/>
    <w:rsid w:val="1142587A"/>
    <w:rsid w:val="17906B5C"/>
    <w:rsid w:val="263F31C6"/>
    <w:rsid w:val="36B34232"/>
    <w:rsid w:val="44531571"/>
    <w:rsid w:val="496270BE"/>
    <w:rsid w:val="54245B23"/>
    <w:rsid w:val="5B7B5517"/>
    <w:rsid w:val="5CFB42D7"/>
    <w:rsid w:val="772B6750"/>
    <w:rsid w:val="79652BD2"/>
    <w:rsid w:val="7D9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8F324"/>
  <w15:docId w15:val="{EFEF3C1B-FC46-4572-A125-B789A0D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2.2资料来源"/>
    <w:basedOn w:val="21"/>
    <w:link w:val="22Char"/>
    <w:qFormat/>
    <w:rPr>
      <w:b w:val="0"/>
      <w:color w:val="262626" w:themeColor="text1" w:themeTint="D9"/>
      <w:kern w:val="0"/>
      <w:sz w:val="15"/>
    </w:rPr>
  </w:style>
  <w:style w:type="paragraph" w:customStyle="1" w:styleId="21">
    <w:name w:val="2.1图表标题"/>
    <w:basedOn w:val="a"/>
    <w:link w:val="21Char"/>
    <w:qFormat/>
    <w:pPr>
      <w:widowControl/>
      <w:jc w:val="left"/>
    </w:pPr>
    <w:rPr>
      <w:rFonts w:ascii="Arial" w:eastAsia="黑体" w:hAnsi="Arial" w:cs="Times New Roman"/>
      <w:b/>
      <w:color w:val="262626" w:themeColor="text1" w:themeTint="D9"/>
      <w:sz w:val="16"/>
      <w:szCs w:val="16"/>
    </w:rPr>
  </w:style>
  <w:style w:type="character" w:customStyle="1" w:styleId="21Char">
    <w:name w:val="2.1图表标题 Char"/>
    <w:basedOn w:val="a0"/>
    <w:link w:val="21"/>
    <w:qFormat/>
    <w:rPr>
      <w:rFonts w:ascii="Arial" w:eastAsia="黑体" w:hAnsi="Arial" w:cs="Times New Roman"/>
      <w:b/>
      <w:color w:val="262626" w:themeColor="text1" w:themeTint="D9"/>
      <w:sz w:val="16"/>
      <w:szCs w:val="16"/>
    </w:rPr>
  </w:style>
  <w:style w:type="character" w:customStyle="1" w:styleId="22Char">
    <w:name w:val="2.2资料来源 Char"/>
    <w:basedOn w:val="21Char"/>
    <w:link w:val="22"/>
    <w:qFormat/>
    <w:rPr>
      <w:rFonts w:ascii="Arial" w:eastAsia="黑体" w:hAnsi="Arial" w:cs="Times New Roman"/>
      <w:b w:val="0"/>
      <w:color w:val="262626" w:themeColor="text1" w:themeTint="D9"/>
      <w:kern w:val="0"/>
      <w:sz w:val="15"/>
      <w:szCs w:val="16"/>
    </w:rPr>
  </w:style>
  <w:style w:type="paragraph" w:customStyle="1" w:styleId="3">
    <w:name w:val="3.一级标题"/>
    <w:qFormat/>
    <w:pPr>
      <w:widowControl w:val="0"/>
      <w:numPr>
        <w:numId w:val="1"/>
      </w:numPr>
      <w:spacing w:before="200" w:after="160" w:line="360" w:lineRule="exact"/>
      <w:outlineLvl w:val="0"/>
    </w:pPr>
    <w:rPr>
      <w:rFonts w:ascii="Arial" w:eastAsia="华文楷体" w:hAnsi="Arial"/>
      <w:b/>
      <w:color w:val="0070C0"/>
      <w:kern w:val="2"/>
      <w:sz w:val="28"/>
      <w:szCs w:val="22"/>
    </w:rPr>
  </w:style>
  <w:style w:type="paragraph" w:customStyle="1" w:styleId="4">
    <w:name w:val="4.二级标题"/>
    <w:qFormat/>
    <w:pPr>
      <w:widowControl w:val="0"/>
      <w:numPr>
        <w:ilvl w:val="1"/>
        <w:numId w:val="1"/>
      </w:numPr>
      <w:spacing w:after="120" w:line="320" w:lineRule="exact"/>
      <w:ind w:left="0"/>
      <w:outlineLvl w:val="1"/>
    </w:pPr>
    <w:rPr>
      <w:rFonts w:ascii="Arial" w:eastAsia="华文楷体" w:hAnsi="Arial"/>
      <w:b/>
      <w:color w:val="0070C0"/>
      <w:kern w:val="2"/>
      <w:sz w:val="24"/>
      <w:szCs w:val="22"/>
    </w:rPr>
  </w:style>
  <w:style w:type="paragraph" w:customStyle="1" w:styleId="5">
    <w:name w:val="5.三级标题"/>
    <w:qFormat/>
    <w:pPr>
      <w:widowControl w:val="0"/>
      <w:numPr>
        <w:ilvl w:val="2"/>
        <w:numId w:val="1"/>
      </w:numPr>
      <w:spacing w:after="80" w:line="280" w:lineRule="exact"/>
      <w:ind w:left="0"/>
      <w:outlineLvl w:val="2"/>
    </w:pPr>
    <w:rPr>
      <w:rFonts w:ascii="Arial" w:eastAsia="华文楷体" w:hAnsi="Arial"/>
      <w:b/>
      <w:color w:val="0070C0"/>
      <w:kern w:val="2"/>
      <w:szCs w:val="22"/>
    </w:rPr>
  </w:style>
  <w:style w:type="paragraph" w:customStyle="1" w:styleId="6">
    <w:name w:val="6.四级标题"/>
    <w:qFormat/>
    <w:pPr>
      <w:numPr>
        <w:ilvl w:val="3"/>
        <w:numId w:val="1"/>
      </w:numPr>
      <w:spacing w:after="80" w:line="280" w:lineRule="exact"/>
      <w:ind w:leftChars="1215" w:left="1215"/>
      <w:outlineLvl w:val="2"/>
    </w:pPr>
    <w:rPr>
      <w:rFonts w:ascii="Arial" w:eastAsia="华文黑体" w:hAnsi="Arial"/>
      <w:color w:val="4D4D4F"/>
      <w:kern w:val="2"/>
      <w:szCs w:val="22"/>
    </w:rPr>
  </w:style>
  <w:style w:type="paragraph" w:customStyle="1" w:styleId="1">
    <w:name w:val="1.正文内容"/>
    <w:link w:val="1Char"/>
    <w:qFormat/>
    <w:pPr>
      <w:widowControl w:val="0"/>
      <w:spacing w:beforeLines="50" w:afterLines="50" w:line="280" w:lineRule="exact"/>
      <w:jc w:val="both"/>
    </w:pPr>
    <w:rPr>
      <w:rFonts w:ascii="Arial" w:eastAsia="华文楷体" w:hAnsi="Arial"/>
      <w:color w:val="262626" w:themeColor="text1" w:themeTint="D9"/>
      <w:kern w:val="2"/>
      <w:szCs w:val="22"/>
    </w:rPr>
  </w:style>
  <w:style w:type="paragraph" w:customStyle="1" w:styleId="12">
    <w:name w:val="1.2 空行"/>
    <w:basedOn w:val="1"/>
    <w:link w:val="12Char"/>
    <w:qFormat/>
    <w:pPr>
      <w:spacing w:beforeLines="0" w:afterLines="0"/>
    </w:pPr>
    <w:rPr>
      <w:color w:val="262626" w:themeColor="text1" w:themeTint="D9"/>
    </w:rPr>
  </w:style>
  <w:style w:type="character" w:customStyle="1" w:styleId="1Char">
    <w:name w:val="1.正文内容 Char"/>
    <w:basedOn w:val="a0"/>
    <w:link w:val="1"/>
    <w:qFormat/>
    <w:rPr>
      <w:rFonts w:ascii="Arial" w:eastAsia="华文楷体" w:hAnsi="Arial" w:cs="Times New Roman"/>
      <w:color w:val="262626" w:themeColor="text1" w:themeTint="D9"/>
      <w:sz w:val="20"/>
    </w:rPr>
  </w:style>
  <w:style w:type="character" w:customStyle="1" w:styleId="12Char">
    <w:name w:val="1.2 空行 Char"/>
    <w:basedOn w:val="1Char"/>
    <w:link w:val="12"/>
    <w:qFormat/>
    <w:rPr>
      <w:rFonts w:ascii="Arial" w:eastAsia="华文楷体" w:hAnsi="Arial" w:cs="Times New Roman"/>
      <w:color w:val="262626" w:themeColor="text1" w:themeTint="D9"/>
      <w:sz w:val="20"/>
    </w:rPr>
  </w:style>
  <w:style w:type="table" w:customStyle="1" w:styleId="10">
    <w:name w:val="财务报表和主要财务比率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410\Desktop\&#12304;&#24191;&#21457;&#31574;&#30053;&#12305;&#24314;&#20449;&#21608;&#25253;&#35828;&#26126;2024-&#24555;&#29031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410\Desktop\&#12304;&#24191;&#21457;&#31574;&#30053;&#12305;&#24314;&#20449;&#21608;&#25253;&#35828;&#26126;2024-&#24555;&#29031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410\Desktop\&#12304;&#24191;&#21457;&#31574;&#30053;&#12305;&#24314;&#20449;&#21608;&#25253;&#35828;&#26126;2024-&#24555;&#29031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942048102712924E-2"/>
          <c:y val="8.8566492348036138E-2"/>
          <c:w val="0.87045640362159904"/>
          <c:h val="0.6801542983887434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'1-权益市场表现'!$Q$29:$Q$36</c:f>
              <c:strCache>
                <c:ptCount val="8"/>
                <c:pt idx="0">
                  <c:v>创业板指</c:v>
                </c:pt>
                <c:pt idx="1">
                  <c:v>科创50</c:v>
                </c:pt>
                <c:pt idx="2">
                  <c:v>中证1000</c:v>
                </c:pt>
                <c:pt idx="3">
                  <c:v>万得全A</c:v>
                </c:pt>
                <c:pt idx="4">
                  <c:v>中证500</c:v>
                </c:pt>
                <c:pt idx="5">
                  <c:v>上证综指</c:v>
                </c:pt>
                <c:pt idx="6">
                  <c:v>沪深300</c:v>
                </c:pt>
                <c:pt idx="7">
                  <c:v>上证50</c:v>
                </c:pt>
              </c:strCache>
            </c:strRef>
          </c:cat>
          <c:val>
            <c:numRef>
              <c:f>'1-权益市场表现'!$R$29:$R$36</c:f>
              <c:numCache>
                <c:formatCode>0.00_ </c:formatCode>
                <c:ptCount val="8"/>
                <c:pt idx="0">
                  <c:v>9.3160442602556071</c:v>
                </c:pt>
                <c:pt idx="1">
                  <c:v>9.1376200247636596</c:v>
                </c:pt>
                <c:pt idx="2">
                  <c:v>8.3114759812343841</c:v>
                </c:pt>
                <c:pt idx="3">
                  <c:v>7.1054618290186777</c:v>
                </c:pt>
                <c:pt idx="4">
                  <c:v>6.6981351641803411</c:v>
                </c:pt>
                <c:pt idx="5">
                  <c:v>5.5098446699894943</c:v>
                </c:pt>
                <c:pt idx="6">
                  <c:v>5.5019430104259248</c:v>
                </c:pt>
                <c:pt idx="7">
                  <c:v>4.2995323199404245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34-4476-A8FF-C7A3A25AD2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9"/>
        <c:overlap val="-27"/>
        <c:axId val="215096352"/>
        <c:axId val="215092000"/>
      </c:barChart>
      <c:catAx>
        <c:axId val="21509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eaVert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215092000"/>
        <c:crosses val="autoZero"/>
        <c:auto val="0"/>
        <c:lblAlgn val="ctr"/>
        <c:lblOffset val="300"/>
        <c:tickLblSkip val="1"/>
        <c:noMultiLvlLbl val="0"/>
      </c:catAx>
      <c:valAx>
        <c:axId val="215092000"/>
        <c:scaling>
          <c:orientation val="minMax"/>
        </c:scaling>
        <c:delete val="0"/>
        <c:axPos val="l"/>
        <c:numFmt formatCode="#,##0_ 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21509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/>
          </a:solidFill>
          <a:latin typeface="微软雅黑" panose="020B0503020204020204" pitchFamily="34" charset="-122"/>
          <a:ea typeface="微软雅黑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942048102712924E-2"/>
          <c:y val="0.12115714285714285"/>
          <c:w val="0.88136262626262629"/>
          <c:h val="0.77167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'1-权益市场表现'!$Y$29:$Y$33</c:f>
              <c:strCache>
                <c:ptCount val="5"/>
                <c:pt idx="0">
                  <c:v>成长</c:v>
                </c:pt>
                <c:pt idx="1">
                  <c:v>金融</c:v>
                </c:pt>
                <c:pt idx="2">
                  <c:v>消费</c:v>
                </c:pt>
                <c:pt idx="3">
                  <c:v>周期</c:v>
                </c:pt>
                <c:pt idx="4">
                  <c:v>稳定</c:v>
                </c:pt>
              </c:strCache>
            </c:strRef>
          </c:cat>
          <c:val>
            <c:numRef>
              <c:f>'1-权益市场表现'!$Z$29:$Z$33</c:f>
              <c:numCache>
                <c:formatCode>0.00_ </c:formatCode>
                <c:ptCount val="5"/>
                <c:pt idx="0">
                  <c:v>9.290721411726599</c:v>
                </c:pt>
                <c:pt idx="1">
                  <c:v>6.8742092078595052</c:v>
                </c:pt>
                <c:pt idx="2">
                  <c:v>6.3282041962637869</c:v>
                </c:pt>
                <c:pt idx="3">
                  <c:v>5.0703737374955482</c:v>
                </c:pt>
                <c:pt idx="4">
                  <c:v>2.6881445951731475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7A-480A-A3B6-4A392D7591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9"/>
        <c:overlap val="-27"/>
        <c:axId val="547584736"/>
        <c:axId val="547575488"/>
      </c:barChart>
      <c:catAx>
        <c:axId val="5475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47575488"/>
        <c:crosses val="autoZero"/>
        <c:auto val="1"/>
        <c:lblAlgn val="ctr"/>
        <c:lblOffset val="300"/>
        <c:tickLblSkip val="1"/>
        <c:noMultiLvlLbl val="0"/>
      </c:catAx>
      <c:valAx>
        <c:axId val="547575488"/>
        <c:scaling>
          <c:orientation val="minMax"/>
        </c:scaling>
        <c:delete val="0"/>
        <c:axPos val="l"/>
        <c:numFmt formatCode="#,##0.0_ 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54758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/>
          </a:solidFill>
          <a:latin typeface="微软雅黑" panose="020B0503020204020204" pitchFamily="34" charset="-122"/>
          <a:ea typeface="微软雅黑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942048102712924E-2"/>
          <c:y val="0.1064044564115422"/>
          <c:w val="0.90259065656565673"/>
          <c:h val="0.5898800504362298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'1-权益市场表现'!$U$29:$U$56</c:f>
              <c:strCache>
                <c:ptCount val="28"/>
                <c:pt idx="0">
                  <c:v>计算机</c:v>
                </c:pt>
                <c:pt idx="1">
                  <c:v>国防军工</c:v>
                </c:pt>
                <c:pt idx="2">
                  <c:v>非银金融</c:v>
                </c:pt>
                <c:pt idx="3">
                  <c:v>商贸零售</c:v>
                </c:pt>
                <c:pt idx="4">
                  <c:v>电子</c:v>
                </c:pt>
                <c:pt idx="5">
                  <c:v>机械设备</c:v>
                </c:pt>
                <c:pt idx="6">
                  <c:v>轻工制造</c:v>
                </c:pt>
                <c:pt idx="7">
                  <c:v>汽车</c:v>
                </c:pt>
                <c:pt idx="8">
                  <c:v>传媒</c:v>
                </c:pt>
                <c:pt idx="9">
                  <c:v>食品饮料</c:v>
                </c:pt>
                <c:pt idx="10">
                  <c:v>房地产</c:v>
                </c:pt>
                <c:pt idx="11">
                  <c:v>通信</c:v>
                </c:pt>
                <c:pt idx="12">
                  <c:v>建筑装饰</c:v>
                </c:pt>
                <c:pt idx="13">
                  <c:v>医药生物</c:v>
                </c:pt>
                <c:pt idx="14">
                  <c:v>环保</c:v>
                </c:pt>
                <c:pt idx="15">
                  <c:v>社会服务</c:v>
                </c:pt>
                <c:pt idx="16">
                  <c:v>电力设备</c:v>
                </c:pt>
                <c:pt idx="17">
                  <c:v>农林牧渔</c:v>
                </c:pt>
                <c:pt idx="18">
                  <c:v>基础化工</c:v>
                </c:pt>
                <c:pt idx="19">
                  <c:v>美容护理</c:v>
                </c:pt>
                <c:pt idx="20">
                  <c:v>纺织服饰</c:v>
                </c:pt>
                <c:pt idx="21">
                  <c:v>综合</c:v>
                </c:pt>
                <c:pt idx="22">
                  <c:v>钢铁</c:v>
                </c:pt>
                <c:pt idx="23">
                  <c:v>交通运输</c:v>
                </c:pt>
                <c:pt idx="24">
                  <c:v>建筑材料</c:v>
                </c:pt>
                <c:pt idx="25">
                  <c:v>石油石化</c:v>
                </c:pt>
                <c:pt idx="26">
                  <c:v>有色金属</c:v>
                </c:pt>
                <c:pt idx="27">
                  <c:v>家用电器</c:v>
                </c:pt>
              </c:strCache>
            </c:strRef>
          </c:cat>
          <c:val>
            <c:numRef>
              <c:f>'1-权益市场表现'!$V$29:$V$56</c:f>
              <c:numCache>
                <c:formatCode>0.00_ </c:formatCode>
                <c:ptCount val="28"/>
                <c:pt idx="0">
                  <c:v>14.407339552710873</c:v>
                </c:pt>
                <c:pt idx="1">
                  <c:v>12.233725332529243</c:v>
                </c:pt>
                <c:pt idx="2">
                  <c:v>12.004705234043023</c:v>
                </c:pt>
                <c:pt idx="3">
                  <c:v>10.512937229249042</c:v>
                </c:pt>
                <c:pt idx="4">
                  <c:v>9.3606247632313853</c:v>
                </c:pt>
                <c:pt idx="5">
                  <c:v>7.8933869544699053</c:v>
                </c:pt>
                <c:pt idx="6">
                  <c:v>7.5831311944753788</c:v>
                </c:pt>
                <c:pt idx="7">
                  <c:v>7.2872491846212695</c:v>
                </c:pt>
                <c:pt idx="8">
                  <c:v>7.2493356666018638</c:v>
                </c:pt>
                <c:pt idx="9">
                  <c:v>7.1241563572643551</c:v>
                </c:pt>
                <c:pt idx="10">
                  <c:v>6.8251182981695857</c:v>
                </c:pt>
                <c:pt idx="11">
                  <c:v>6.8028154486899028</c:v>
                </c:pt>
                <c:pt idx="12">
                  <c:v>6.5408692719029382</c:v>
                </c:pt>
                <c:pt idx="13">
                  <c:v>6.4259257268191927</c:v>
                </c:pt>
                <c:pt idx="14">
                  <c:v>6.3712057335581829</c:v>
                </c:pt>
                <c:pt idx="15">
                  <c:v>6.2141322456062964</c:v>
                </c:pt>
                <c:pt idx="16">
                  <c:v>6.1364049281392719</c:v>
                </c:pt>
                <c:pt idx="17">
                  <c:v>6.0441267868241111</c:v>
                </c:pt>
                <c:pt idx="18">
                  <c:v>5.5577234796181818</c:v>
                </c:pt>
                <c:pt idx="19">
                  <c:v>5.4266487787218542</c:v>
                </c:pt>
                <c:pt idx="20">
                  <c:v>5.3462765459481476</c:v>
                </c:pt>
                <c:pt idx="21">
                  <c:v>5.3067690986150495</c:v>
                </c:pt>
                <c:pt idx="22">
                  <c:v>5.0079637625785933</c:v>
                </c:pt>
                <c:pt idx="23">
                  <c:v>4.8466824377604967</c:v>
                </c:pt>
                <c:pt idx="24">
                  <c:v>3.6844886700523327</c:v>
                </c:pt>
                <c:pt idx="25">
                  <c:v>3.4795273597598486</c:v>
                </c:pt>
                <c:pt idx="26">
                  <c:v>3.466164936684768</c:v>
                </c:pt>
                <c:pt idx="27">
                  <c:v>2.3214680787618347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EF-44AA-949A-B87EF1497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9"/>
        <c:overlap val="-27"/>
        <c:axId val="215096352"/>
        <c:axId val="215092000"/>
      </c:barChart>
      <c:catAx>
        <c:axId val="21509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215092000"/>
        <c:crosses val="autoZero"/>
        <c:auto val="1"/>
        <c:lblAlgn val="ctr"/>
        <c:lblOffset val="100"/>
        <c:tickLblSkip val="1"/>
        <c:noMultiLvlLbl val="0"/>
      </c:catAx>
      <c:valAx>
        <c:axId val="215092000"/>
        <c:scaling>
          <c:orientation val="minMax"/>
        </c:scaling>
        <c:delete val="0"/>
        <c:axPos val="l"/>
        <c:numFmt formatCode="#,##0_ 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21509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solidFill>
            <a:schemeClr val="tx1"/>
          </a:solidFill>
          <a:latin typeface="微软雅黑" panose="020B0503020204020204" pitchFamily="34" charset="-122"/>
          <a:ea typeface="微软雅黑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53A6-DE65-4128-A332-D051D19F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1113</Words>
  <Characters>1281</Characters>
  <Application>Microsoft Office Word</Application>
  <DocSecurity>0</DocSecurity>
  <Lines>71</Lines>
  <Paragraphs>49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灵运</dc:creator>
  <cp:lastModifiedBy>泽华 卢</cp:lastModifiedBy>
  <cp:revision>106</cp:revision>
  <dcterms:created xsi:type="dcterms:W3CDTF">2022-09-02T05:58:00Z</dcterms:created>
  <dcterms:modified xsi:type="dcterms:W3CDTF">2024-11-08T12:52:00Z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4353E1E73AF24C74BDFDF4E125DD8A84_13</vt:lpwstr>
  </property>
  <property fmtid="{D5CDD505-2E9C-101B-9397-08002B2CF9AE}" pid="4" name="BD_Document_Page_Count">
    <vt:lpwstr>4</vt:lpwstr>
  </property>
</Properties>
</file>