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color w:val="auto"/>
          <w:highlight w:val="none"/>
          <w:lang w:val="en-US" w:eastAsia="zh-CN"/>
        </w:rPr>
      </w:pPr>
      <w:bookmarkStart w:id="0" w:name="_GoBack"/>
      <w:bookmarkEnd w:id="0"/>
      <w:r>
        <w:rPr>
          <w:rFonts w:hint="eastAsia"/>
          <w:b/>
          <w:bCs/>
          <w:sz w:val="22"/>
          <w:szCs w:val="28"/>
          <w:lang w:val="en-US" w:eastAsia="zh-CN"/>
        </w:rPr>
        <w:t>个人合理避税方法研究</w:t>
      </w:r>
    </w:p>
    <w:p>
      <w:pPr>
        <w:keepNext w:val="0"/>
        <w:keepLines w:val="0"/>
        <w:widowControl/>
        <w:suppressLineNumbers w:val="0"/>
        <w:ind w:firstLine="420" w:firstLineChars="0"/>
        <w:jc w:val="left"/>
        <w:rPr>
          <w:rFonts w:hint="default"/>
          <w:color w:val="auto"/>
          <w:highlight w:val="none"/>
          <w:lang w:val="en-US" w:eastAsia="zh-CN"/>
        </w:rPr>
      </w:pPr>
      <w:r>
        <w:rPr>
          <w:rFonts w:hint="eastAsia" w:ascii="SimSun" w:hAnsi="SimSun" w:eastAsia="SimSun" w:cs="SimSun"/>
          <w:color w:val="auto"/>
          <w:kern w:val="0"/>
          <w:sz w:val="21"/>
          <w:szCs w:val="21"/>
          <w:highlight w:val="none"/>
          <w:lang w:val="en-US" w:eastAsia="zh-CN" w:bidi="ar"/>
        </w:rPr>
        <w:t>提到避税，有人就把它和逃税和漏税等违法行为联系起来。其实这两者是完全不同的，避税是纳税人在遵守税法法规的前提下，对纳税义务的规避，而偷税，逃税则是指纳税人采用不正当手段减少或不履行纳税义务。美国把避税定为除逃税以外的种种使税收最小的技术。避税不仅是合法的，而且还是一种重要的企业理财技术。作为财务经理或企业决策</w:t>
      </w:r>
      <w:r>
        <w:rPr>
          <w:rFonts w:hint="eastAsia" w:ascii="SimSun" w:hAnsi="SimSun" w:eastAsia="SimSun" w:cs="SimSun"/>
          <w:color w:val="auto"/>
          <w:kern w:val="0"/>
          <w:sz w:val="20"/>
          <w:szCs w:val="20"/>
          <w:highlight w:val="none"/>
          <w:lang w:val="en-US" w:eastAsia="zh-CN" w:bidi="ar"/>
        </w:rPr>
        <w:t>者，应该有一些避税知识。本文主要简单介绍几种个人避税方法。</w:t>
      </w:r>
    </w:p>
    <w:p>
      <w:pPr>
        <w:bidi w:val="0"/>
        <w:rPr>
          <w:rFonts w:hint="eastAsia" w:ascii="SimSun" w:hAnsi="SimSun" w:eastAsia="SimSun" w:cs="SimSun"/>
          <w:color w:val="auto"/>
          <w:kern w:val="0"/>
          <w:sz w:val="20"/>
          <w:szCs w:val="20"/>
          <w:highlight w:val="none"/>
          <w:lang w:val="en-US" w:eastAsia="zh-CN" w:bidi="ar"/>
        </w:rPr>
      </w:pPr>
      <w:r>
        <w:rPr>
          <w:rFonts w:hint="eastAsia"/>
          <w:b/>
          <w:bCs/>
          <w:lang w:val="en-US" w:eastAsia="zh-CN"/>
        </w:rPr>
        <w:t>1．投资避税</w:t>
      </w:r>
    </w:p>
    <w:p>
      <w:pPr>
        <w:keepNext w:val="0"/>
        <w:keepLines w:val="0"/>
        <w:widowControl/>
        <w:numPr>
          <w:ilvl w:val="0"/>
          <w:numId w:val="1"/>
        </w:numPr>
        <w:suppressLineNumbers w:val="0"/>
        <w:jc w:val="left"/>
        <w:rPr>
          <w:rFonts w:hint="eastAsia" w:ascii="SimSun" w:hAnsi="SimSun" w:eastAsia="SimSun" w:cs="SimSun"/>
          <w:color w:val="auto"/>
          <w:kern w:val="0"/>
          <w:sz w:val="19"/>
          <w:szCs w:val="19"/>
          <w:highlight w:val="none"/>
          <w:lang w:val="en-US" w:eastAsia="zh-CN" w:bidi="ar"/>
        </w:rPr>
      </w:pPr>
      <w:r>
        <w:rPr>
          <w:rFonts w:hint="eastAsia" w:ascii="SimSun" w:hAnsi="SimSun" w:eastAsia="SimSun" w:cs="SimSun"/>
          <w:color w:val="auto"/>
          <w:kern w:val="0"/>
          <w:sz w:val="19"/>
          <w:szCs w:val="19"/>
          <w:highlight w:val="none"/>
          <w:lang w:val="en-US" w:eastAsia="zh-CN" w:bidi="ar"/>
        </w:rPr>
        <w:t>投资基金避税。投资开放式基金可能会给自己带来较高收益，还能达到合理避税的效果。由于基金分配中取得的收入暂不缴收个人所得税和企业所得税，而且还免收分红手续费和再投资手续费。基金获得的股息、红利及企业债的利息收入，由上市公司向基金派发时代扣代缴</w:t>
      </w:r>
      <w:r>
        <w:rPr>
          <w:rFonts w:ascii="E-BZ" w:hAnsi="E-BZ" w:eastAsia="E-BZ" w:cs="E-BZ"/>
          <w:color w:val="auto"/>
          <w:kern w:val="0"/>
          <w:sz w:val="19"/>
          <w:szCs w:val="19"/>
          <w:highlight w:val="none"/>
          <w:lang w:val="en-US" w:eastAsia="zh-CN" w:bidi="ar"/>
        </w:rPr>
        <w:t>20%</w:t>
      </w:r>
      <w:r>
        <w:rPr>
          <w:rFonts w:hint="eastAsia" w:ascii="SimSun" w:hAnsi="SimSun" w:eastAsia="SimSun" w:cs="SimSun"/>
          <w:color w:val="auto"/>
          <w:kern w:val="0"/>
          <w:sz w:val="19"/>
          <w:szCs w:val="19"/>
          <w:highlight w:val="none"/>
          <w:lang w:val="en-US" w:eastAsia="zh-CN" w:bidi="ar"/>
        </w:rPr>
        <w:t>的个人所得税，因此基金向个人投资者分配时不再代扣代缴个人所得税。</w:t>
      </w:r>
    </w:p>
    <w:p>
      <w:pPr>
        <w:keepNext w:val="0"/>
        <w:keepLines w:val="0"/>
        <w:widowControl/>
        <w:numPr>
          <w:ilvl w:val="0"/>
          <w:numId w:val="0"/>
        </w:numPr>
        <w:suppressLineNumbers w:val="0"/>
        <w:jc w:val="left"/>
        <w:rPr>
          <w:rFonts w:hint="eastAsia" w:ascii="SimSun" w:hAnsi="SimSun" w:eastAsia="SimSun" w:cs="SimSun"/>
          <w:color w:val="auto"/>
          <w:kern w:val="0"/>
          <w:sz w:val="20"/>
          <w:szCs w:val="20"/>
          <w:highlight w:val="none"/>
          <w:lang w:val="en-US" w:eastAsia="zh-CN" w:bidi="ar"/>
        </w:rPr>
      </w:pPr>
      <w:r>
        <w:rPr>
          <w:rFonts w:hint="eastAsia" w:ascii="SimSun" w:hAnsi="SimSun" w:eastAsia="SimSun" w:cs="SimSun"/>
          <w:color w:val="auto"/>
          <w:kern w:val="0"/>
          <w:sz w:val="19"/>
          <w:szCs w:val="19"/>
          <w:highlight w:val="none"/>
          <w:lang w:val="en-US" w:eastAsia="zh-CN" w:bidi="ar"/>
        </w:rPr>
        <w:t>（二）投资国债避税。投资国债能够获得长期稳定并且安全的收益，个人投资企业债券要缴纳</w:t>
      </w:r>
      <w:r>
        <w:rPr>
          <w:rFonts w:hint="default" w:ascii="SimSun" w:hAnsi="SimSun" w:eastAsia="SimSun" w:cs="SimSun"/>
          <w:color w:val="auto"/>
          <w:kern w:val="0"/>
          <w:sz w:val="19"/>
          <w:szCs w:val="19"/>
          <w:highlight w:val="none"/>
          <w:lang w:val="en-US" w:eastAsia="zh-CN" w:bidi="ar"/>
        </w:rPr>
        <w:t>20%</w:t>
      </w:r>
      <w:r>
        <w:rPr>
          <w:rFonts w:hint="eastAsia" w:ascii="SimSun" w:hAnsi="SimSun" w:eastAsia="SimSun" w:cs="SimSun"/>
          <w:color w:val="auto"/>
          <w:kern w:val="0"/>
          <w:sz w:val="19"/>
          <w:szCs w:val="19"/>
          <w:highlight w:val="none"/>
          <w:lang w:val="en-US" w:eastAsia="zh-CN" w:bidi="ar"/>
        </w:rPr>
        <w:t>的个人所得税，而投资国债和特种金融债可以免征个人所得税。虽然企业债券的票面利率高于国债，但如果扣除税款后的实际收益反而低于国债，因此投资国债比较稳健。如记账式国债还可以根据市场利率的变化，在二级市场出卖用来赚取差价。</w:t>
      </w:r>
    </w:p>
    <w:p>
      <w:pPr>
        <w:keepNext w:val="0"/>
        <w:keepLines w:val="0"/>
        <w:widowControl/>
        <w:suppressLineNumbers w:val="0"/>
        <w:ind w:firstLine="420" w:firstLineChars="0"/>
        <w:jc w:val="left"/>
        <w:rPr>
          <w:rFonts w:hint="eastAsia" w:ascii="SimSun" w:hAnsi="SimSun" w:eastAsia="SimSun" w:cs="SimSun"/>
          <w:b/>
          <w:bCs/>
          <w:color w:val="auto"/>
          <w:kern w:val="0"/>
          <w:sz w:val="21"/>
          <w:szCs w:val="21"/>
          <w:highlight w:val="none"/>
          <w:lang w:val="en-US" w:eastAsia="zh-CN" w:bidi="ar"/>
        </w:rPr>
      </w:pPr>
    </w:p>
    <w:p>
      <w:pPr>
        <w:keepNext w:val="0"/>
        <w:keepLines w:val="0"/>
        <w:widowControl/>
        <w:numPr>
          <w:ilvl w:val="0"/>
          <w:numId w:val="0"/>
        </w:numPr>
        <w:suppressLineNumbers w:val="0"/>
        <w:jc w:val="left"/>
        <w:rPr>
          <w:rFonts w:hint="eastAsia" w:ascii="SimSun" w:hAnsi="SimSun" w:eastAsia="SimSun" w:cs="SimSun"/>
          <w:b/>
          <w:bCs/>
          <w:color w:val="auto"/>
          <w:kern w:val="0"/>
          <w:sz w:val="20"/>
          <w:szCs w:val="20"/>
          <w:highlight w:val="none"/>
          <w:lang w:val="en-US" w:eastAsia="zh-CN" w:bidi="ar"/>
        </w:rPr>
      </w:pPr>
      <w:r>
        <w:rPr>
          <w:rFonts w:hint="eastAsia" w:ascii="SimSun" w:hAnsi="SimSun" w:eastAsia="SimSun" w:cs="SimSun"/>
          <w:b/>
          <w:bCs/>
          <w:color w:val="auto"/>
          <w:kern w:val="0"/>
          <w:sz w:val="20"/>
          <w:szCs w:val="20"/>
          <w:highlight w:val="none"/>
          <w:lang w:val="en-US" w:eastAsia="zh-CN" w:bidi="ar"/>
        </w:rPr>
        <w:t>2.购买保险避税。</w:t>
      </w:r>
    </w:p>
    <w:p>
      <w:pPr>
        <w:keepNext w:val="0"/>
        <w:keepLines w:val="0"/>
        <w:widowControl/>
        <w:numPr>
          <w:ilvl w:val="0"/>
          <w:numId w:val="0"/>
        </w:numPr>
        <w:suppressLineNumbers w:val="0"/>
        <w:ind w:firstLine="420" w:firstLineChars="0"/>
        <w:jc w:val="left"/>
      </w:pPr>
      <w:r>
        <w:rPr>
          <w:rFonts w:hint="eastAsia" w:ascii="SimSun" w:hAnsi="SimSun" w:eastAsia="SimSun" w:cs="SimSun"/>
          <w:color w:val="auto"/>
          <w:kern w:val="0"/>
          <w:sz w:val="19"/>
          <w:szCs w:val="19"/>
          <w:highlight w:val="none"/>
          <w:lang w:val="en-US" w:eastAsia="zh-CN" w:bidi="ar"/>
        </w:rPr>
        <w:t>居民购买保险投资也有优惠。按照国家或地方政府规定的比例提取并向指定的金融机构缴付的医疗保险金，不计个人当期的工资、薪水收入，免缴个人所得税。保险赔款是赔偿个人遭受意外不幸的损失，因为不属于个人收入，免缴个人所得税。按照国家规定的比例缴付的医疗保险金、基本养老保险金和失业保险金存入银行个人账户所取得的利息收入，也免征个人所得税。因此，保险=保障</w:t>
      </w:r>
      <w:r>
        <w:rPr>
          <w:rFonts w:hint="default" w:ascii="SimSun" w:hAnsi="SimSun" w:eastAsia="SimSun" w:cs="SimSun"/>
          <w:color w:val="auto"/>
          <w:kern w:val="0"/>
          <w:sz w:val="19"/>
          <w:szCs w:val="19"/>
          <w:highlight w:val="none"/>
          <w:lang w:val="en-US" w:eastAsia="zh-CN" w:bidi="ar"/>
        </w:rPr>
        <w:t>+</w:t>
      </w:r>
      <w:r>
        <w:rPr>
          <w:rFonts w:hint="eastAsia" w:ascii="SimSun" w:hAnsi="SimSun" w:eastAsia="SimSun" w:cs="SimSun"/>
          <w:color w:val="auto"/>
          <w:kern w:val="0"/>
          <w:sz w:val="19"/>
          <w:szCs w:val="19"/>
          <w:highlight w:val="none"/>
          <w:lang w:val="en-US" w:eastAsia="zh-CN" w:bidi="ar"/>
        </w:rPr>
        <w:t>避税，选择合理的保险计划，既可得到所需的保障，又可合理避税。</w:t>
      </w:r>
    </w:p>
    <w:p>
      <w:pPr>
        <w:keepNext w:val="0"/>
        <w:keepLines w:val="0"/>
        <w:widowControl/>
        <w:suppressLineNumbers w:val="0"/>
        <w:jc w:val="left"/>
        <w:rPr>
          <w:rFonts w:hint="eastAsia" w:ascii="SimSun" w:hAnsi="SimSun" w:eastAsia="SimSun" w:cs="SimSun"/>
          <w:color w:val="auto"/>
          <w:kern w:val="0"/>
          <w:sz w:val="21"/>
          <w:szCs w:val="21"/>
          <w:highlight w:val="none"/>
          <w:lang w:val="en-US" w:eastAsia="zh-CN" w:bidi="ar"/>
        </w:rPr>
      </w:pPr>
    </w:p>
    <w:p>
      <w:pPr>
        <w:numPr>
          <w:ilvl w:val="0"/>
          <w:numId w:val="0"/>
        </w:numPr>
        <w:bidi w:val="0"/>
        <w:rPr>
          <w:rFonts w:hint="eastAsia"/>
          <w:b/>
          <w:bCs/>
          <w:lang w:val="en-US" w:eastAsia="zh-CN"/>
        </w:rPr>
      </w:pPr>
      <w:r>
        <w:rPr>
          <w:rFonts w:hint="eastAsia"/>
          <w:b/>
          <w:bCs/>
          <w:lang w:val="en-US" w:eastAsia="zh-CN"/>
        </w:rPr>
        <w:t>3利用公司避税</w:t>
      </w:r>
    </w:p>
    <w:p>
      <w:pPr>
        <w:numPr>
          <w:ilvl w:val="0"/>
          <w:numId w:val="0"/>
        </w:numPr>
        <w:bidi w:val="0"/>
        <w:rPr>
          <w:rFonts w:hint="eastAsia"/>
          <w:lang w:val="en-US" w:eastAsia="zh-CN"/>
        </w:rPr>
      </w:pPr>
      <w:r>
        <w:rPr>
          <w:rFonts w:hint="eastAsia"/>
          <w:lang w:val="en-US" w:eastAsia="zh-CN"/>
        </w:rPr>
        <w:t xml:space="preserve"> 利用公司25%的</w:t>
      </w:r>
      <w:r>
        <w:rPr>
          <w:rFonts w:hint="eastAsia"/>
          <w:lang w:val="en-US" w:eastAsia="zh-CN"/>
        </w:rPr>
        <w:fldChar w:fldCharType="begin"/>
      </w:r>
      <w:r>
        <w:rPr>
          <w:rFonts w:hint="eastAsia"/>
          <w:lang w:val="en-US" w:eastAsia="zh-CN"/>
        </w:rPr>
        <w:instrText xml:space="preserve"> HYPERLINK "https://www.zhihu.com/search?q=%E6%89%80%E5%BE%97%E7%A8%8E%E7%8E%87&amp;search_source=Entity&amp;hybrid_search_source=Entity&amp;hybrid_search_extra={"sourceType":"answer","sourceId":24510802}" \t "https://www.zhihu.com/question/23406241/answer/_blank" </w:instrText>
      </w:r>
      <w:r>
        <w:rPr>
          <w:rFonts w:hint="eastAsia"/>
          <w:lang w:val="en-US" w:eastAsia="zh-CN"/>
        </w:rPr>
        <w:fldChar w:fldCharType="separate"/>
      </w:r>
      <w:r>
        <w:rPr>
          <w:rFonts w:hint="eastAsia"/>
          <w:lang w:val="en-US" w:eastAsia="zh-CN"/>
        </w:rPr>
        <w:t>所得税率</w:t>
      </w:r>
      <w:r>
        <w:rPr>
          <w:rFonts w:hint="eastAsia"/>
          <w:lang w:val="en-US" w:eastAsia="zh-CN"/>
        </w:rPr>
        <w:fldChar w:fldCharType="end"/>
      </w:r>
      <w:r>
        <w:rPr>
          <w:rFonts w:hint="eastAsia"/>
          <w:lang w:val="en-US" w:eastAsia="zh-CN"/>
        </w:rPr>
        <w:t>，比个人所得税45%的最高税率低。</w:t>
      </w:r>
    </w:p>
    <w:p>
      <w:pPr>
        <w:numPr>
          <w:ilvl w:val="0"/>
          <w:numId w:val="0"/>
        </w:numPr>
        <w:bidi w:val="0"/>
        <w:rPr>
          <w:rFonts w:hint="eastAsia"/>
          <w:lang w:val="en-US" w:eastAsia="zh-CN"/>
        </w:rPr>
      </w:pPr>
      <w:r>
        <w:rPr>
          <w:rFonts w:hint="eastAsia"/>
          <w:lang w:val="en-US" w:eastAsia="zh-CN"/>
        </w:rPr>
        <w:t xml:space="preserve"> 利用企业所得税的扣除去抵扣私人费用。</w:t>
      </w:r>
    </w:p>
    <w:p>
      <w:pPr>
        <w:numPr>
          <w:ilvl w:val="0"/>
          <w:numId w:val="0"/>
        </w:numPr>
        <w:bidi w:val="0"/>
        <w:rPr>
          <w:rFonts w:hint="default"/>
          <w:lang w:val="en-US" w:eastAsia="zh-CN"/>
        </w:rPr>
      </w:pPr>
    </w:p>
    <w:p>
      <w:pPr>
        <w:numPr>
          <w:ilvl w:val="0"/>
          <w:numId w:val="2"/>
        </w:numPr>
        <w:bidi w:val="0"/>
        <w:rPr>
          <w:rFonts w:hint="eastAsia"/>
          <w:b/>
          <w:bCs/>
          <w:lang w:val="en-US" w:eastAsia="zh-CN"/>
        </w:rPr>
      </w:pPr>
      <w:r>
        <w:rPr>
          <w:rFonts w:hint="eastAsia"/>
          <w:b/>
          <w:bCs/>
          <w:lang w:val="en-US" w:eastAsia="zh-CN"/>
        </w:rPr>
        <w:t>设立慈善基金会</w:t>
      </w:r>
    </w:p>
    <w:p>
      <w:pPr>
        <w:bidi w:val="0"/>
        <w:ind w:firstLine="420" w:firstLineChars="200"/>
        <w:rPr>
          <w:color w:val="auto"/>
        </w:rPr>
      </w:pPr>
      <w:r>
        <w:rPr>
          <w:color w:val="auto"/>
        </w:rPr>
        <w:t>美国规定</w:t>
      </w:r>
      <w:r>
        <w:rPr>
          <w:rFonts w:hint="eastAsia"/>
          <w:color w:val="auto"/>
          <w:lang w:eastAsia="zh-CN"/>
        </w:rPr>
        <w:t>，</w:t>
      </w:r>
      <w:r>
        <w:rPr>
          <w:color w:val="auto"/>
        </w:rPr>
        <w:t>慈善捐赠属于遗产税中可以扣除的部分，所以在美国富人们会通过设立慈善基金会规避遗产税，</w:t>
      </w:r>
      <w:r>
        <w:rPr>
          <w:rFonts w:hint="eastAsia"/>
          <w:color w:val="auto"/>
          <w:lang w:eastAsia="zh-CN"/>
        </w:rPr>
        <w:t>此举</w:t>
      </w:r>
      <w:r>
        <w:rPr>
          <w:color w:val="auto"/>
        </w:rPr>
        <w:t>既可以博名声还可以保全财产，很多世界级的富豪同时也是世界级的慈善家。比如洛克菲勒家族的慈善基金会</w:t>
      </w:r>
      <w:r>
        <w:rPr>
          <w:rFonts w:hint="eastAsia"/>
          <w:color w:val="auto"/>
          <w:lang w:eastAsia="zh-CN"/>
        </w:rPr>
        <w:t>，</w:t>
      </w:r>
      <w:r>
        <w:rPr>
          <w:color w:val="auto"/>
        </w:rPr>
        <w:t>以慈善之名逃脱巨大遗产税，用工资的形式给继承人分红。</w:t>
      </w:r>
    </w:p>
    <w:p>
      <w:pPr>
        <w:bidi w:val="0"/>
        <w:ind w:firstLine="420" w:firstLineChars="200"/>
        <w:rPr>
          <w:color w:val="auto"/>
        </w:rPr>
      </w:pPr>
      <w:r>
        <w:rPr>
          <w:color w:val="auto"/>
        </w:rPr>
        <w:t>另外慈善基金会还可以规避其他税种</w:t>
      </w:r>
      <w:r>
        <w:rPr>
          <w:rFonts w:hint="eastAsia"/>
          <w:color w:val="auto"/>
          <w:lang w:eastAsia="zh-CN"/>
        </w:rPr>
        <w:t>，</w:t>
      </w:r>
      <w:r>
        <w:rPr>
          <w:color w:val="auto"/>
        </w:rPr>
        <w:t>美国法律规定了要交资产税，富人拥有一个庄园，每年要上很高的资产税</w:t>
      </w:r>
      <w:r>
        <w:rPr>
          <w:rFonts w:hint="eastAsia"/>
          <w:color w:val="auto"/>
          <w:lang w:eastAsia="zh-CN"/>
        </w:rPr>
        <w:t>，</w:t>
      </w:r>
      <w:r>
        <w:rPr>
          <w:color w:val="auto"/>
        </w:rPr>
        <w:t>但如果将庄园捐赠给公益组织</w:t>
      </w:r>
      <w:r>
        <w:rPr>
          <w:rFonts w:hint="eastAsia"/>
          <w:color w:val="auto"/>
          <w:lang w:eastAsia="zh-CN"/>
        </w:rPr>
        <w:t>，</w:t>
      </w:r>
      <w:r>
        <w:rPr>
          <w:color w:val="auto"/>
        </w:rPr>
        <w:t>资产税就自然不交了。洛克菲勒家族就利用成立的洛克菲勒兄弟基金会，把家族的私家庄园捐给洛克菲勒兄弟基金会，达到了免资产税的目的。</w:t>
      </w:r>
    </w:p>
    <w:p>
      <w:pPr>
        <w:bidi w:val="0"/>
        <w:ind w:firstLine="420" w:firstLineChars="200"/>
        <w:rPr>
          <w:color w:val="auto"/>
        </w:rPr>
      </w:pPr>
      <w:r>
        <w:rPr>
          <w:color w:val="auto"/>
        </w:rPr>
        <w:t>当然我们并不能把公益捐赠仅视为避税手法，一旦捐给公益组织，就按公益组织的方式进行监管，私人享用公益财产是受严格约束的，洛克菲勒家族将家族庄园捐给洛克菲勒兄弟基金会后，就不能住在里面了，比尔•盖茨将自己的资产捐给比尔和梅琳达•盖茨基金会之后，这资产就属于基金会了，盖茨私人请客的发票，绝不能再拿到</w:t>
      </w:r>
      <w:r>
        <w:rPr>
          <w:rFonts w:hint="eastAsia"/>
          <w:color w:val="auto"/>
          <w:lang w:eastAsia="zh-CN"/>
        </w:rPr>
        <w:t>基金会</w:t>
      </w:r>
      <w:r>
        <w:rPr>
          <w:color w:val="auto"/>
        </w:rPr>
        <w:t>去报账。对于此，国外围绕公益组织的注册成立及后续监管，有着一套成熟系统的法律，而且这些法律在不断完善中。</w:t>
      </w:r>
    </w:p>
    <w:p>
      <w:pPr>
        <w:bidi w:val="0"/>
        <w:rPr>
          <w:b/>
          <w:bCs/>
        </w:rPr>
      </w:pPr>
    </w:p>
    <w:p>
      <w:pPr>
        <w:bidi w:val="0"/>
        <w:rPr>
          <w:rFonts w:hint="default"/>
          <w:color w:val="auto"/>
          <w:highlight w:val="none"/>
          <w:lang w:val="en-US" w:eastAsia="zh-CN"/>
        </w:rPr>
      </w:pPr>
      <w:r>
        <w:rPr>
          <w:rFonts w:hint="eastAsia"/>
          <w:b/>
          <w:bCs/>
          <w:lang w:val="en-US" w:eastAsia="zh-CN"/>
        </w:rPr>
        <w:t>5.遗嘱信托规避遗产税</w:t>
      </w:r>
    </w:p>
    <w:p>
      <w:pPr>
        <w:pStyle w:val="10"/>
        <w:keepNext w:val="0"/>
        <w:keepLines w:val="0"/>
        <w:widowControl w:val="0"/>
        <w:shd w:val="clear" w:color="auto" w:fill="auto"/>
        <w:bidi w:val="0"/>
        <w:spacing w:before="0" w:after="0" w:line="307" w:lineRule="exact"/>
        <w:ind w:right="0"/>
        <w:jc w:val="both"/>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pP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信托行为通常</w:t>
      </w:r>
      <w:r>
        <w:rPr>
          <w:rFonts w:hint="eastAsia" w:asciiTheme="minorHAnsi" w:hAnsiTheme="minorHAnsi" w:eastAsiaTheme="minorEastAsia" w:cstheme="minorBidi"/>
          <w:color w:val="auto"/>
          <w:spacing w:val="0"/>
          <w:w w:val="100"/>
          <w:kern w:val="2"/>
          <w:position w:val="0"/>
          <w:sz w:val="21"/>
          <w:szCs w:val="24"/>
          <w:highlight w:val="none"/>
          <w:u w:val="none"/>
          <w:shd w:val="clear"/>
          <w:lang w:val="en-US" w:eastAsia="zh-CN" w:bidi="ar-SA"/>
        </w:rPr>
        <w:t>涉及</w:t>
      </w: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三方，即信托财产的委托人，受托人以及受益人，但是各国对于信托三方当事人关系的认识和规定不尽相同。</w:t>
      </w:r>
    </w:p>
    <w:p>
      <w:pPr>
        <w:pStyle w:val="10"/>
        <w:keepNext w:val="0"/>
        <w:keepLines w:val="0"/>
        <w:widowControl w:val="0"/>
        <w:shd w:val="clear" w:color="auto" w:fill="auto"/>
        <w:bidi w:val="0"/>
        <w:spacing w:before="0" w:after="0" w:line="307" w:lineRule="exact"/>
        <w:ind w:right="0"/>
        <w:jc w:val="both"/>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pPr>
    </w:p>
    <w:p>
      <w:pPr>
        <w:pStyle w:val="10"/>
        <w:keepNext w:val="0"/>
        <w:keepLines w:val="0"/>
        <w:widowControl w:val="0"/>
        <w:shd w:val="clear" w:color="auto" w:fill="auto"/>
        <w:bidi w:val="0"/>
        <w:spacing w:before="0" w:after="0" w:line="307" w:lineRule="exact"/>
        <w:ind w:right="0"/>
        <w:jc w:val="both"/>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pP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英美法系国家一般把信托关系视为一种法律关系，委托人把自己的财产委托给信托机构</w:t>
      </w:r>
      <w:r>
        <w:rPr>
          <w:rFonts w:hint="eastAsia" w:asciiTheme="minorHAnsi" w:hAnsiTheme="minorHAnsi" w:eastAsiaTheme="minorEastAsia" w:cstheme="minorBidi"/>
          <w:color w:val="auto"/>
          <w:spacing w:val="0"/>
          <w:w w:val="100"/>
          <w:kern w:val="2"/>
          <w:position w:val="0"/>
          <w:sz w:val="21"/>
          <w:szCs w:val="24"/>
          <w:highlight w:val="none"/>
          <w:u w:val="none"/>
          <w:shd w:val="clear"/>
          <w:lang w:val="en-US" w:eastAsia="zh-CN" w:bidi="ar-SA"/>
        </w:rPr>
        <w:t>及</w:t>
      </w: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受托人管理，这时信托就在法律上切断了委托人与其财产之间的所有权链条，也就是委托人将委托财产置于信托管理之下时便不再拥有其委托财产的所有权。比如根据美国信托法的规定，信托一经有效成立</w:t>
      </w:r>
      <w:r>
        <w:rPr>
          <w:rFonts w:hint="eastAsia" w:asciiTheme="minorHAnsi" w:hAnsiTheme="minorHAnsi" w:eastAsiaTheme="minorEastAsia" w:cstheme="minorBidi"/>
          <w:color w:val="auto"/>
          <w:spacing w:val="0"/>
          <w:w w:val="100"/>
          <w:kern w:val="2"/>
          <w:position w:val="0"/>
          <w:sz w:val="21"/>
          <w:szCs w:val="24"/>
          <w:highlight w:val="none"/>
          <w:u w:val="none"/>
          <w:shd w:val="clear"/>
          <w:lang w:val="en-US" w:eastAsia="zh-CN" w:bidi="ar-SA"/>
        </w:rPr>
        <w:t>，</w:t>
      </w: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信托财产即从委托人、受托人和受益人的自有财产中分离出来，而成为独立运作的财产</w:t>
      </w:r>
      <w:r>
        <w:rPr>
          <w:rFonts w:hint="eastAsia" w:asciiTheme="minorHAnsi" w:hAnsiTheme="minorHAnsi" w:eastAsiaTheme="minorEastAsia" w:cstheme="minorBidi"/>
          <w:color w:val="auto"/>
          <w:spacing w:val="0"/>
          <w:w w:val="100"/>
          <w:kern w:val="2"/>
          <w:position w:val="0"/>
          <w:sz w:val="21"/>
          <w:szCs w:val="24"/>
          <w:highlight w:val="none"/>
          <w:u w:val="none"/>
          <w:shd w:val="clear"/>
          <w:lang w:val="en-US" w:eastAsia="zh-CN" w:bidi="ar-SA"/>
        </w:rPr>
        <w:t>，</w:t>
      </w: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而欧洲大陆法系的国家一般不把信托视为一种法律关系，只是将其视为委托人与受托人之间的一种合同关系。</w:t>
      </w:r>
    </w:p>
    <w:p>
      <w:pPr>
        <w:pStyle w:val="10"/>
        <w:keepNext w:val="0"/>
        <w:keepLines w:val="0"/>
        <w:widowControl w:val="0"/>
        <w:shd w:val="clear" w:color="auto" w:fill="auto"/>
        <w:bidi w:val="0"/>
        <w:spacing w:before="0" w:after="0" w:line="307" w:lineRule="exact"/>
        <w:ind w:right="0"/>
        <w:jc w:val="both"/>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pPr>
    </w:p>
    <w:p>
      <w:pPr>
        <w:pStyle w:val="10"/>
        <w:keepNext w:val="0"/>
        <w:keepLines w:val="0"/>
        <w:widowControl w:val="0"/>
        <w:shd w:val="clear" w:color="auto" w:fill="auto"/>
        <w:bidi w:val="0"/>
        <w:spacing w:before="0" w:after="0" w:line="310" w:lineRule="exact"/>
        <w:ind w:left="0" w:right="0"/>
        <w:jc w:val="both"/>
        <w:rPr>
          <w:rFonts w:hint="eastAsia" w:ascii="SimSun" w:hAnsi="SimSun" w:eastAsia="SimSun" w:cs="SimSun"/>
          <w:color w:val="auto"/>
          <w:kern w:val="0"/>
          <w:sz w:val="21"/>
          <w:szCs w:val="21"/>
          <w:highlight w:val="none"/>
          <w:lang w:val="en-US" w:eastAsia="zh-CN" w:bidi="ar"/>
        </w:rPr>
      </w:pPr>
      <w:r>
        <w:rPr>
          <w:rFonts w:asciiTheme="minorHAnsi" w:hAnsiTheme="minorHAnsi" w:eastAsiaTheme="minorEastAsia" w:cstheme="minorBidi"/>
          <w:color w:val="auto"/>
          <w:spacing w:val="0"/>
          <w:w w:val="100"/>
          <w:kern w:val="2"/>
          <w:position w:val="0"/>
          <w:sz w:val="21"/>
          <w:szCs w:val="24"/>
          <w:highlight w:val="none"/>
          <w:u w:val="none"/>
          <w:shd w:val="clear"/>
          <w:lang w:val="en-US" w:eastAsia="zh-CN" w:bidi="ar-SA"/>
        </w:rPr>
        <w:t>由于对信托关系的认识不同，各国对信托的税收处理办法也有所差别。英美法系国家从信托可以割断委托人与其财产之间所有权关系链条的基本认识出发，一般对财产所有人委托受托人的财产所得不再征税。而且英美法系国家多实行全权信托，信托的受益人（即使是委托人本身）对信托财产也不享有所有权，所以只要受益人不从信托机构得到分配的利益，受益人也不用就信托财产缴纳任何税收。大陆法系国家由于不承认信托财产独立的法律地位，所以对于财产所有人的信托财产及其收益有时也要征税。不难看出，英美法系国家对信托的税收处理办法可以给纳税人提供一定的税收筹划机会。</w:t>
      </w:r>
    </w:p>
    <w:p>
      <w:pPr>
        <w:bidi w:val="0"/>
        <w:ind w:firstLine="420" w:firstLineChars="0"/>
        <w:rPr>
          <w:color w:val="auto"/>
          <w:highlight w:val="none"/>
        </w:rPr>
      </w:pPr>
      <w:r>
        <w:rPr>
          <w:color w:val="auto"/>
          <w:highlight w:val="none"/>
        </w:rPr>
        <w:t>我国目前并不存在"赠与税"或"遗产税"的税种，对受赠和继承财产的相关规定散见于个人所得税政策法规，但是中国居民纳税人受赠和继承财产仍然有可能承担个人所得税。.原因之一是新《个人所得税法》列举的所得项目并不包括纳税人受赠和继承财产，但受赠和继承财产可以被认为是一种对价为零的财产转让而归入"财产转让所得"之中。按照《个人所得税法》第八条规定，个人与其关联方之间的业务往来不符合独立交易原则而减少本人或者其关联方应纳税额，且无正当理由的，税务机关有权按照合理方法进行纳税调整。原因之二是中国居民纳税人如果受赠或继承来自境外的财产，所得来源地所属国家或地区如果有"赠与税"或"遗产税"方面的规定，则受赠或继承时仍然需要负担税收成本。</w:t>
      </w:r>
    </w:p>
    <w:p>
      <w:pPr>
        <w:keepNext w:val="0"/>
        <w:keepLines w:val="0"/>
        <w:widowControl/>
        <w:suppressLineNumbers w:val="0"/>
        <w:jc w:val="left"/>
        <w:rPr>
          <w:rFonts w:hint="eastAsia" w:ascii="SimSun" w:hAnsi="SimSun" w:eastAsia="SimSun" w:cs="SimSun"/>
          <w:color w:val="auto"/>
          <w:kern w:val="0"/>
          <w:sz w:val="18"/>
          <w:szCs w:val="18"/>
          <w:highlight w:val="none"/>
          <w:lang w:val="en-US" w:eastAsia="zh-CN" w:bidi="ar"/>
        </w:rPr>
      </w:pPr>
    </w:p>
    <w:p>
      <w:pPr>
        <w:bidi w:val="0"/>
        <w:rPr>
          <w:rFonts w:hint="default"/>
          <w:b/>
          <w:bCs/>
          <w:lang w:val="en-US" w:eastAsia="zh-CN"/>
        </w:rPr>
      </w:pPr>
      <w:r>
        <w:rPr>
          <w:rFonts w:hint="eastAsia"/>
          <w:b/>
          <w:bCs/>
          <w:lang w:val="en-US" w:eastAsia="zh-CN"/>
        </w:rPr>
        <w:t>6.减少曝光</w:t>
      </w:r>
    </w:p>
    <w:p>
      <w:pPr>
        <w:bidi w:val="0"/>
        <w:ind w:firstLine="420" w:firstLineChars="0"/>
        <w:rPr>
          <w:rFonts w:hint="default"/>
          <w:color w:val="auto"/>
          <w:highlight w:val="none"/>
          <w:lang w:val="en-US" w:eastAsia="zh-CN"/>
        </w:rPr>
      </w:pPr>
      <w:r>
        <w:rPr>
          <w:color w:val="auto"/>
          <w:highlight w:val="none"/>
          <w:lang w:val="en-US" w:eastAsia="zh-CN"/>
        </w:rPr>
        <w:t>富豪榜在给上榜企业家带来耀眼明星光环的同时，</w:t>
      </w:r>
      <w:r>
        <w:rPr>
          <w:rFonts w:hint="default"/>
          <w:color w:val="auto"/>
          <w:highlight w:val="none"/>
          <w:lang w:val="en-US" w:eastAsia="zh-CN"/>
        </w:rPr>
        <w:t>这些企业家的言行与过往都会被放到聚光灯下接受严格审查，光环与厄运往往只有一线之隔。特别是在转轨经济的历史背景下，法律制度的不完善或执行不到位导致一些企业家具有“不义而富”之嫌，富豪榜的公布使得这些企业家面临更大的外部监督压力，政治成本陡然上升。这种监督压力首先来自媒体，在追求点击率的驱使下，媒体对企业家的负面新闻具有很强的报道偏好，因为这些新闻事件更容易引起大众的关注并产生轰动效应。在媒体高强度报道和头条报道下，企业家任何不规范问题会被无限放大，从而造成严重不利的舆论环境。作为企业规范经营的一部分，依法纳税往往是媒体关注的焦点。当企业家名列富豪榜而其企业纳税与其财富规模严重不匹配时，容易引起媒体的质疑与调查，企业避税的政治成本上升。在媒体的监督威胁下，富豪榜企业避税动机减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B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9B77D"/>
    <w:multiLevelType w:val="singleLevel"/>
    <w:tmpl w:val="F7A9B77D"/>
    <w:lvl w:ilvl="0" w:tentative="0">
      <w:start w:val="4"/>
      <w:numFmt w:val="decimal"/>
      <w:suff w:val="space"/>
      <w:lvlText w:val="%1."/>
      <w:lvlJc w:val="left"/>
    </w:lvl>
  </w:abstractNum>
  <w:abstractNum w:abstractNumId="1">
    <w:nsid w:val="75218DF8"/>
    <w:multiLevelType w:val="singleLevel"/>
    <w:tmpl w:val="75218DF8"/>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yN2IyMTljNGEwNTBlZDMxMDFmZTFiYTllNzNjY2UifQ=="/>
  </w:docVars>
  <w:rsids>
    <w:rsidRoot w:val="233C0311"/>
    <w:rsid w:val="01F22A0D"/>
    <w:rsid w:val="233C0311"/>
    <w:rsid w:val="371D3D12"/>
    <w:rsid w:val="4375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标题 2 Char"/>
    <w:link w:val="3"/>
    <w:qFormat/>
    <w:uiPriority w:val="0"/>
    <w:rPr>
      <w:rFonts w:ascii="Arial" w:hAnsi="Arial" w:eastAsia="SimHei"/>
      <w:b/>
      <w:sz w:val="32"/>
    </w:rPr>
  </w:style>
  <w:style w:type="paragraph" w:customStyle="1" w:styleId="10">
    <w:name w:val="Body text|1"/>
    <w:basedOn w:val="1"/>
    <w:qFormat/>
    <w:uiPriority w:val="0"/>
    <w:pPr>
      <w:widowControl w:val="0"/>
      <w:shd w:val="clear" w:color="auto" w:fill="auto"/>
      <w:spacing w:line="439" w:lineRule="auto"/>
      <w:ind w:firstLine="380"/>
    </w:pPr>
    <w:rPr>
      <w:rFonts w:ascii="SimSun" w:hAnsi="SimSun" w:eastAsia="SimSun" w:cs="SimSun"/>
      <w:sz w:val="15"/>
      <w:szCs w:val="15"/>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2553</Words>
  <Characters>2564</Characters>
  <Lines>0</Lines>
  <Paragraphs>0</Paragraphs>
  <TotalTime>328</TotalTime>
  <ScaleCrop>false</ScaleCrop>
  <LinksUpToDate>false</LinksUpToDate>
  <CharactersWithSpaces>2566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2022-05-12T04:17:00Z</dcterms:created>
  <dc:creator>fafa</dc:creator>
  <cp:lastModifiedBy>fafa</cp:lastModifiedBy>
  <dcterms:modified xsi:type="dcterms:W3CDTF">2023-07-17T15:37:11Z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044F6A22FE6E485AB888AC6AB82F6668_13</vt:lpwstr>
  </property>
</Properties>
</file>