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深圳大学考试答题纸</w:t>
      </w:r>
    </w:p>
    <w:p>
      <w:pPr>
        <w:jc w:val="center"/>
        <w:rPr>
          <w:sz w:val="10"/>
          <w:szCs w:val="10"/>
        </w:rPr>
      </w:pPr>
      <w:r>
        <w:rPr>
          <w:rFonts w:hint="eastAsia"/>
          <w:sz w:val="24"/>
        </w:rPr>
        <w:t>(以论文、报告等形式考核专用)</w:t>
      </w:r>
      <w:r>
        <w:rPr>
          <w:sz w:val="24"/>
        </w:rPr>
        <w:br w:type="textWrapping"/>
      </w:r>
      <w:r>
        <w:rPr>
          <w:rFonts w:hint="eastAsia"/>
          <w:sz w:val="24"/>
        </w:rPr>
        <w:t>二○</w:t>
      </w:r>
      <w:r>
        <w:rPr>
          <w:rFonts w:hint="eastAsia"/>
          <w:sz w:val="24"/>
          <w:u w:val="single"/>
        </w:rPr>
        <w:t>二○</w:t>
      </w:r>
      <w:r>
        <w:rPr>
          <w:rFonts w:hint="eastAsia"/>
          <w:sz w:val="24"/>
        </w:rPr>
        <w:t>～二○</w:t>
      </w:r>
      <w:r>
        <w:rPr>
          <w:rFonts w:hint="eastAsia"/>
          <w:sz w:val="24"/>
          <w:u w:val="single"/>
          <w:lang w:val="en-US" w:eastAsia="zh-CN"/>
        </w:rPr>
        <w:t>二一</w:t>
      </w:r>
      <w:r>
        <w:rPr>
          <w:rFonts w:hint="eastAsia"/>
          <w:sz w:val="24"/>
        </w:rPr>
        <w:t>学年度第</w:t>
      </w:r>
      <w:r>
        <w:rPr>
          <w:rFonts w:hint="eastAsia"/>
          <w:sz w:val="24"/>
          <w:u w:val="single"/>
          <w:lang w:val="en-US" w:eastAsia="zh-CN"/>
        </w:rPr>
        <w:t>二</w:t>
      </w:r>
      <w:r>
        <w:rPr>
          <w:rFonts w:hint="eastAsia"/>
          <w:sz w:val="24"/>
        </w:rPr>
        <w:t>学期</w:t>
      </w:r>
    </w:p>
    <w:tbl>
      <w:tblPr>
        <w:tblStyle w:val="4"/>
        <w:tblW w:w="9362" w:type="dxa"/>
        <w:jc w:val="center"/>
        <w:tblLayout w:type="fixed"/>
        <w:tblCellMar>
          <w:top w:w="0" w:type="dxa"/>
          <w:left w:w="108" w:type="dxa"/>
          <w:bottom w:w="0" w:type="dxa"/>
          <w:right w:w="108" w:type="dxa"/>
        </w:tblCellMar>
      </w:tblPr>
      <w:tblGrid>
        <w:gridCol w:w="1075"/>
        <w:gridCol w:w="78"/>
        <w:gridCol w:w="836"/>
        <w:gridCol w:w="244"/>
        <w:gridCol w:w="607"/>
        <w:gridCol w:w="414"/>
        <w:gridCol w:w="11"/>
        <w:gridCol w:w="1089"/>
        <w:gridCol w:w="45"/>
        <w:gridCol w:w="1494"/>
        <w:gridCol w:w="349"/>
        <w:gridCol w:w="1134"/>
        <w:gridCol w:w="690"/>
        <w:gridCol w:w="160"/>
        <w:gridCol w:w="709"/>
        <w:gridCol w:w="427"/>
      </w:tblGrid>
      <w:tr>
        <w:tblPrEx>
          <w:tblCellMar>
            <w:top w:w="0" w:type="dxa"/>
            <w:left w:w="108" w:type="dxa"/>
            <w:bottom w:w="0" w:type="dxa"/>
            <w:right w:w="108" w:type="dxa"/>
          </w:tblCellMar>
        </w:tblPrEx>
        <w:trPr>
          <w:trHeight w:val="397" w:hRule="atLeast"/>
          <w:jc w:val="center"/>
        </w:trPr>
        <w:tc>
          <w:tcPr>
            <w:tcW w:w="1075" w:type="dxa"/>
            <w:noWrap w:val="0"/>
            <w:vAlign w:val="center"/>
          </w:tcPr>
          <w:p>
            <w:pPr>
              <w:rPr>
                <w:rFonts w:hint="eastAsia" w:eastAsia="楷体_GB2312"/>
                <w:szCs w:val="21"/>
              </w:rPr>
            </w:pPr>
            <w:r>
              <w:rPr>
                <w:rFonts w:hint="eastAsia" w:eastAsia="楷体_GB2312"/>
                <w:szCs w:val="21"/>
              </w:rPr>
              <w:t>课程编号</w:t>
            </w:r>
          </w:p>
        </w:tc>
        <w:tc>
          <w:tcPr>
            <w:tcW w:w="914" w:type="dxa"/>
            <w:gridSpan w:val="2"/>
            <w:tcBorders>
              <w:bottom w:val="single" w:color="auto" w:sz="4" w:space="0"/>
            </w:tcBorders>
            <w:noWrap w:val="0"/>
            <w:vAlign w:val="center"/>
          </w:tcPr>
          <w:p>
            <w:pPr>
              <w:rPr>
                <w:rFonts w:hint="eastAsia" w:eastAsia="楷体_GB2312"/>
                <w:szCs w:val="21"/>
              </w:rPr>
            </w:pPr>
            <w:r>
              <w:rPr>
                <w:rFonts w:hint="eastAsia" w:eastAsia="楷体_GB2312"/>
                <w:sz w:val="13"/>
                <w:szCs w:val="13"/>
              </w:rPr>
              <w:t>0208700001</w:t>
            </w:r>
          </w:p>
        </w:tc>
        <w:tc>
          <w:tcPr>
            <w:tcW w:w="851" w:type="dxa"/>
            <w:gridSpan w:val="2"/>
            <w:noWrap w:val="0"/>
            <w:vAlign w:val="center"/>
          </w:tcPr>
          <w:p>
            <w:pPr>
              <w:rPr>
                <w:rFonts w:hint="eastAsia" w:eastAsia="楷体_GB2312"/>
                <w:szCs w:val="21"/>
              </w:rPr>
            </w:pPr>
            <w:r>
              <w:rPr>
                <w:rFonts w:hint="eastAsia" w:eastAsia="楷体_GB2312"/>
                <w:szCs w:val="21"/>
              </w:rPr>
              <w:t>课序号</w:t>
            </w:r>
          </w:p>
        </w:tc>
        <w:tc>
          <w:tcPr>
            <w:tcW w:w="425" w:type="dxa"/>
            <w:gridSpan w:val="2"/>
            <w:tcBorders>
              <w:bottom w:val="single" w:color="auto" w:sz="4" w:space="0"/>
            </w:tcBorders>
            <w:noWrap w:val="0"/>
            <w:vAlign w:val="center"/>
          </w:tcPr>
          <w:p>
            <w:pPr>
              <w:rPr>
                <w:rFonts w:hint="eastAsia" w:eastAsia="楷体_GB2312"/>
                <w:szCs w:val="21"/>
                <w:lang w:val="en-US" w:eastAsia="zh-CN"/>
              </w:rPr>
            </w:pPr>
            <w:r>
              <w:rPr>
                <w:rFonts w:hint="eastAsia" w:eastAsia="楷体_GB2312"/>
                <w:szCs w:val="21"/>
                <w:lang w:val="en-US" w:eastAsia="zh-CN"/>
              </w:rPr>
              <w:t>1</w:t>
            </w:r>
          </w:p>
        </w:tc>
        <w:tc>
          <w:tcPr>
            <w:tcW w:w="1134" w:type="dxa"/>
            <w:gridSpan w:val="2"/>
            <w:noWrap w:val="0"/>
            <w:vAlign w:val="center"/>
          </w:tcPr>
          <w:p>
            <w:pPr>
              <w:rPr>
                <w:rFonts w:hint="eastAsia" w:eastAsia="楷体_GB2312"/>
                <w:szCs w:val="21"/>
              </w:rPr>
            </w:pPr>
            <w:r>
              <w:rPr>
                <w:rFonts w:hint="eastAsia" w:eastAsia="楷体_GB2312"/>
                <w:szCs w:val="21"/>
              </w:rPr>
              <w:t>课程名称</w:t>
            </w:r>
          </w:p>
        </w:tc>
        <w:tc>
          <w:tcPr>
            <w:tcW w:w="1843" w:type="dxa"/>
            <w:gridSpan w:val="2"/>
            <w:tcBorders>
              <w:bottom w:val="single" w:color="auto" w:sz="4" w:space="0"/>
            </w:tcBorders>
            <w:noWrap w:val="0"/>
            <w:vAlign w:val="center"/>
          </w:tcPr>
          <w:p>
            <w:pPr>
              <w:rPr>
                <w:rFonts w:hint="eastAsia" w:eastAsia="楷体_GB2312"/>
                <w:szCs w:val="21"/>
              </w:rPr>
            </w:pPr>
            <w:r>
              <w:rPr>
                <w:rFonts w:hint="eastAsia" w:eastAsia="楷体_GB2312"/>
                <w:sz w:val="20"/>
                <w:szCs w:val="20"/>
              </w:rPr>
              <w:t>金融科技应用前沿</w:t>
            </w:r>
          </w:p>
        </w:tc>
        <w:tc>
          <w:tcPr>
            <w:tcW w:w="1134" w:type="dxa"/>
            <w:tcBorders>
              <w:left w:val="nil"/>
            </w:tcBorders>
            <w:noWrap w:val="0"/>
            <w:vAlign w:val="center"/>
          </w:tcPr>
          <w:p>
            <w:pPr>
              <w:rPr>
                <w:rFonts w:hint="eastAsia" w:eastAsia="楷体_GB2312"/>
                <w:szCs w:val="21"/>
              </w:rPr>
            </w:pPr>
            <w:r>
              <w:rPr>
                <w:rFonts w:hint="eastAsia" w:eastAsia="楷体_GB2312"/>
                <w:szCs w:val="21"/>
              </w:rPr>
              <w:t>主讲教师</w:t>
            </w:r>
          </w:p>
        </w:tc>
        <w:tc>
          <w:tcPr>
            <w:tcW w:w="850" w:type="dxa"/>
            <w:gridSpan w:val="2"/>
            <w:tcBorders>
              <w:left w:val="nil"/>
              <w:bottom w:val="single" w:color="auto" w:sz="4" w:space="0"/>
            </w:tcBorders>
            <w:noWrap w:val="0"/>
            <w:vAlign w:val="center"/>
          </w:tcPr>
          <w:p>
            <w:pPr>
              <w:rPr>
                <w:rFonts w:hint="default" w:eastAsia="楷体_GB2312"/>
                <w:szCs w:val="21"/>
                <w:lang w:val="en-US" w:eastAsia="zh-CN"/>
              </w:rPr>
            </w:pPr>
            <w:r>
              <w:rPr>
                <w:rFonts w:hint="eastAsia" w:eastAsia="楷体_GB2312"/>
                <w:szCs w:val="21"/>
                <w:lang w:val="en-US" w:eastAsia="zh-CN"/>
              </w:rPr>
              <w:t>王玉龙</w:t>
            </w:r>
          </w:p>
        </w:tc>
        <w:tc>
          <w:tcPr>
            <w:tcW w:w="709" w:type="dxa"/>
            <w:noWrap w:val="0"/>
            <w:vAlign w:val="center"/>
          </w:tcPr>
          <w:p>
            <w:pPr>
              <w:rPr>
                <w:rFonts w:hint="eastAsia" w:eastAsia="楷体_GB2312"/>
                <w:szCs w:val="21"/>
              </w:rPr>
            </w:pPr>
            <w:r>
              <w:rPr>
                <w:rFonts w:hint="eastAsia" w:eastAsia="楷体_GB2312"/>
                <w:szCs w:val="21"/>
              </w:rPr>
              <w:t>评分</w:t>
            </w:r>
          </w:p>
        </w:tc>
        <w:tc>
          <w:tcPr>
            <w:tcW w:w="427" w:type="dxa"/>
            <w:tcBorders>
              <w:bottom w:val="single" w:color="auto" w:sz="4" w:space="0"/>
            </w:tcBorders>
            <w:noWrap w:val="0"/>
            <w:vAlign w:val="center"/>
          </w:tcPr>
          <w:p>
            <w:pPr>
              <w:rPr>
                <w:rFonts w:hint="eastAsia" w:eastAsia="楷体_GB2312"/>
                <w:sz w:val="24"/>
              </w:rPr>
            </w:pPr>
          </w:p>
        </w:tc>
      </w:tr>
      <w:tr>
        <w:tblPrEx>
          <w:tblCellMar>
            <w:top w:w="0" w:type="dxa"/>
            <w:left w:w="108" w:type="dxa"/>
            <w:bottom w:w="0" w:type="dxa"/>
            <w:right w:w="108" w:type="dxa"/>
          </w:tblCellMar>
        </w:tblPrEx>
        <w:trPr>
          <w:trHeight w:val="397" w:hRule="atLeast"/>
          <w:jc w:val="center"/>
        </w:trPr>
        <w:tc>
          <w:tcPr>
            <w:tcW w:w="1075" w:type="dxa"/>
            <w:noWrap w:val="0"/>
            <w:vAlign w:val="bottom"/>
          </w:tcPr>
          <w:p>
            <w:pPr>
              <w:rPr>
                <w:rFonts w:hint="eastAsia" w:eastAsia="楷体_GB2312"/>
                <w:szCs w:val="21"/>
              </w:rPr>
            </w:pPr>
            <w:r>
              <w:rPr>
                <w:rFonts w:hint="eastAsia" w:eastAsia="楷体_GB2312"/>
                <w:szCs w:val="21"/>
              </w:rPr>
              <w:t>学号</w:t>
            </w:r>
          </w:p>
        </w:tc>
        <w:tc>
          <w:tcPr>
            <w:tcW w:w="1158" w:type="dxa"/>
            <w:gridSpan w:val="3"/>
            <w:tcBorders>
              <w:bottom w:val="single" w:color="auto" w:sz="4" w:space="0"/>
            </w:tcBorders>
            <w:noWrap w:val="0"/>
            <w:vAlign w:val="bottom"/>
          </w:tcPr>
          <w:p>
            <w:pPr>
              <w:rPr>
                <w:rFonts w:hint="default" w:eastAsia="楷体_GB2312"/>
                <w:szCs w:val="21"/>
                <w:lang w:val="en-US" w:eastAsia="zh-CN"/>
              </w:rPr>
            </w:pPr>
            <w:r>
              <w:rPr>
                <w:rFonts w:hint="eastAsia" w:eastAsia="楷体_GB2312"/>
                <w:sz w:val="18"/>
                <w:szCs w:val="18"/>
                <w:lang w:val="en-US" w:eastAsia="zh-CN"/>
              </w:rPr>
              <w:t>2020022093</w:t>
            </w:r>
          </w:p>
        </w:tc>
        <w:tc>
          <w:tcPr>
            <w:tcW w:w="1021" w:type="dxa"/>
            <w:gridSpan w:val="2"/>
            <w:noWrap w:val="0"/>
            <w:vAlign w:val="bottom"/>
          </w:tcPr>
          <w:p>
            <w:pPr>
              <w:jc w:val="right"/>
              <w:rPr>
                <w:rFonts w:hint="eastAsia" w:eastAsia="楷体_GB2312"/>
                <w:szCs w:val="21"/>
              </w:rPr>
            </w:pPr>
            <w:r>
              <w:rPr>
                <w:rFonts w:hint="eastAsia" w:eastAsia="楷体_GB2312"/>
                <w:szCs w:val="21"/>
              </w:rPr>
              <w:t>姓名</w:t>
            </w:r>
          </w:p>
        </w:tc>
        <w:tc>
          <w:tcPr>
            <w:tcW w:w="1100" w:type="dxa"/>
            <w:gridSpan w:val="2"/>
            <w:tcBorders>
              <w:bottom w:val="single" w:color="auto" w:sz="4" w:space="0"/>
            </w:tcBorders>
            <w:noWrap w:val="0"/>
            <w:vAlign w:val="bottom"/>
          </w:tcPr>
          <w:p>
            <w:pPr>
              <w:rPr>
                <w:rFonts w:hint="eastAsia" w:eastAsia="楷体_GB2312"/>
                <w:szCs w:val="21"/>
                <w:lang w:val="en-US" w:eastAsia="zh-CN"/>
              </w:rPr>
            </w:pPr>
            <w:r>
              <w:rPr>
                <w:rFonts w:hint="eastAsia" w:eastAsia="楷体_GB2312"/>
                <w:szCs w:val="21"/>
                <w:lang w:val="en-US" w:eastAsia="zh-CN"/>
              </w:rPr>
              <w:t>卢泽华</w:t>
            </w:r>
          </w:p>
        </w:tc>
        <w:tc>
          <w:tcPr>
            <w:tcW w:w="1539" w:type="dxa"/>
            <w:gridSpan w:val="2"/>
            <w:tcBorders>
              <w:left w:val="nil"/>
            </w:tcBorders>
            <w:noWrap w:val="0"/>
            <w:vAlign w:val="bottom"/>
          </w:tcPr>
          <w:p>
            <w:pPr>
              <w:rPr>
                <w:rFonts w:hint="eastAsia" w:eastAsia="楷体_GB2312"/>
                <w:szCs w:val="21"/>
              </w:rPr>
            </w:pPr>
            <w:r>
              <w:rPr>
                <w:rFonts w:hint="eastAsia" w:eastAsia="楷体_GB2312"/>
                <w:szCs w:val="21"/>
              </w:rPr>
              <w:t>专业年级</w:t>
            </w:r>
          </w:p>
        </w:tc>
        <w:tc>
          <w:tcPr>
            <w:tcW w:w="3469" w:type="dxa"/>
            <w:gridSpan w:val="6"/>
            <w:tcBorders>
              <w:bottom w:val="single" w:color="auto" w:sz="4" w:space="0"/>
            </w:tcBorders>
            <w:noWrap w:val="0"/>
            <w:vAlign w:val="bottom"/>
          </w:tcPr>
          <w:p>
            <w:pPr>
              <w:rPr>
                <w:rFonts w:hint="default" w:eastAsia="楷体_GB2312"/>
                <w:szCs w:val="21"/>
                <w:lang w:val="en-US" w:eastAsia="zh-CN"/>
              </w:rPr>
            </w:pPr>
            <w:r>
              <w:rPr>
                <w:rFonts w:hint="eastAsia" w:eastAsia="楷体_GB2312"/>
                <w:szCs w:val="21"/>
                <w:lang w:val="en-US" w:eastAsia="zh-CN"/>
              </w:rPr>
              <w:t>金融学2020级</w:t>
            </w:r>
          </w:p>
        </w:tc>
      </w:tr>
      <w:tr>
        <w:tblPrEx>
          <w:tblCellMar>
            <w:top w:w="0" w:type="dxa"/>
            <w:left w:w="108" w:type="dxa"/>
            <w:bottom w:w="0" w:type="dxa"/>
            <w:right w:w="108" w:type="dxa"/>
          </w:tblCellMar>
        </w:tblPrEx>
        <w:trPr>
          <w:trHeight w:val="113" w:hRule="exact"/>
          <w:jc w:val="center"/>
        </w:trPr>
        <w:tc>
          <w:tcPr>
            <w:tcW w:w="9362" w:type="dxa"/>
            <w:gridSpan w:val="16"/>
            <w:tcBorders>
              <w:bottom w:val="single" w:color="auto" w:sz="4" w:space="0"/>
            </w:tcBorders>
            <w:noWrap w:val="0"/>
            <w:vAlign w:val="bottom"/>
          </w:tcPr>
          <w:p>
            <w:pPr>
              <w:rPr>
                <w:rFonts w:hint="eastAsia" w:eastAsia="楷体_GB2312"/>
                <w:szCs w:val="21"/>
              </w:rPr>
            </w:pPr>
          </w:p>
        </w:tc>
      </w:tr>
      <w:tr>
        <w:tblPrEx>
          <w:tblCellMar>
            <w:top w:w="0" w:type="dxa"/>
            <w:left w:w="108" w:type="dxa"/>
            <w:bottom w:w="0" w:type="dxa"/>
            <w:right w:w="108" w:type="dxa"/>
          </w:tblCellMar>
        </w:tblPrEx>
        <w:trPr>
          <w:trHeight w:val="1395" w:hRule="atLeast"/>
          <w:jc w:val="center"/>
        </w:trPr>
        <w:tc>
          <w:tcPr>
            <w:tcW w:w="9362" w:type="dxa"/>
            <w:gridSpan w:val="16"/>
            <w:tcBorders>
              <w:top w:val="single" w:color="auto" w:sz="4" w:space="0"/>
              <w:left w:val="single" w:color="auto" w:sz="4" w:space="0"/>
              <w:right w:val="single" w:color="auto" w:sz="4" w:space="0"/>
            </w:tcBorders>
            <w:noWrap w:val="0"/>
            <w:vAlign w:val="top"/>
          </w:tcPr>
          <w:p>
            <w:pPr>
              <w:rPr>
                <w:rFonts w:hint="eastAsia" w:eastAsia="楷体_GB2312"/>
                <w:szCs w:val="21"/>
              </w:rPr>
            </w:pPr>
            <w:r>
              <w:rPr>
                <w:rFonts w:hint="eastAsia" w:eastAsia="楷体_GB2312"/>
                <w:szCs w:val="21"/>
              </w:rPr>
              <w:t>教师评语：:</w:t>
            </w:r>
          </w:p>
        </w:tc>
      </w:tr>
      <w:tr>
        <w:tblPrEx>
          <w:tblCellMar>
            <w:top w:w="0" w:type="dxa"/>
            <w:left w:w="108" w:type="dxa"/>
            <w:bottom w:w="0" w:type="dxa"/>
            <w:right w:w="108" w:type="dxa"/>
          </w:tblCellMar>
        </w:tblPrEx>
        <w:trPr>
          <w:trHeight w:val="765" w:hRule="atLeast"/>
          <w:jc w:val="center"/>
        </w:trPr>
        <w:tc>
          <w:tcPr>
            <w:tcW w:w="1153" w:type="dxa"/>
            <w:gridSpan w:val="2"/>
            <w:tcBorders>
              <w:top w:val="single" w:color="auto" w:sz="4" w:space="0"/>
            </w:tcBorders>
            <w:noWrap w:val="0"/>
            <w:vAlign w:val="center"/>
          </w:tcPr>
          <w:p>
            <w:pPr>
              <w:wordWrap w:val="0"/>
              <w:jc w:val="center"/>
              <w:rPr>
                <w:rFonts w:hint="eastAsia" w:eastAsia="楷体_GB2312"/>
                <w:sz w:val="24"/>
              </w:rPr>
            </w:pPr>
            <w:r>
              <w:rPr>
                <w:rFonts w:hint="eastAsia" w:eastAsia="楷体_GB2312"/>
                <w:sz w:val="24"/>
              </w:rPr>
              <w:t>题目：</w:t>
            </w:r>
          </w:p>
        </w:tc>
        <w:tc>
          <w:tcPr>
            <w:tcW w:w="6913" w:type="dxa"/>
            <w:gridSpan w:val="11"/>
            <w:tcBorders>
              <w:top w:val="single" w:color="auto" w:sz="4" w:space="0"/>
              <w:bottom w:val="single" w:color="auto" w:sz="4" w:space="0"/>
            </w:tcBorders>
            <w:noWrap w:val="0"/>
            <w:vAlign w:val="center"/>
          </w:tcPr>
          <w:p>
            <w:pPr>
              <w:pStyle w:val="2"/>
              <w:bidi w:val="0"/>
              <w:snapToGrid/>
              <w:spacing w:before="156" w:beforeLines="50" w:beforeAutospacing="0" w:after="156" w:afterLines="50" w:afterAutospacing="0" w:line="240" w:lineRule="auto"/>
              <w:ind w:left="0" w:leftChars="0" w:right="0" w:rightChars="0" w:firstLine="0" w:firstLineChars="0"/>
              <w:jc w:val="center"/>
              <w:rPr>
                <w:rFonts w:hint="eastAsia" w:ascii="SimHei" w:eastAsia="SimHei"/>
                <w:sz w:val="28"/>
                <w:szCs w:val="28"/>
              </w:rPr>
            </w:pPr>
            <w:r>
              <w:rPr>
                <w:rFonts w:hint="eastAsia" w:ascii="SimHei" w:hAnsi="SimHei" w:eastAsia="SimHei" w:cs="SimHei"/>
                <w:b w:val="0"/>
                <w:sz w:val="28"/>
                <w:szCs w:val="21"/>
                <w:lang w:val="en-US" w:eastAsia="zh-CN"/>
              </w:rPr>
              <w:t>金融科技如何在严监管下创新发力</w:t>
            </w:r>
          </w:p>
        </w:tc>
        <w:tc>
          <w:tcPr>
            <w:tcW w:w="1296" w:type="dxa"/>
            <w:gridSpan w:val="3"/>
            <w:tcBorders>
              <w:top w:val="single" w:color="auto" w:sz="4" w:space="0"/>
            </w:tcBorders>
            <w:noWrap w:val="0"/>
            <w:vAlign w:val="center"/>
          </w:tcPr>
          <w:p>
            <w:pPr>
              <w:jc w:val="center"/>
              <w:rPr>
                <w:rFonts w:hint="eastAsia" w:eastAsia="楷体_GB2312"/>
                <w:sz w:val="24"/>
              </w:rPr>
            </w:pPr>
          </w:p>
        </w:tc>
      </w:tr>
    </w:tbl>
    <w:p>
      <w:pPr>
        <w:pStyle w:val="2"/>
        <w:bidi w:val="0"/>
        <w:snapToGrid/>
        <w:spacing w:before="156" w:beforeLines="50" w:beforeAutospacing="0" w:after="156" w:afterLines="50" w:afterAutospacing="0" w:line="240" w:lineRule="auto"/>
        <w:ind w:left="0" w:leftChars="0" w:right="0" w:rightChars="0" w:firstLine="0" w:firstLineChars="0"/>
        <w:jc w:val="center"/>
        <w:rPr>
          <w:rFonts w:ascii="STZhongsong" w:eastAsia="STZhongsong"/>
          <w:b w:val="0"/>
          <w:sz w:val="40"/>
          <w:szCs w:val="28"/>
          <w:lang w:val="en-US" w:eastAsia="zh-CN"/>
        </w:rPr>
      </w:pPr>
    </w:p>
    <w:p>
      <w:pPr>
        <w:rPr>
          <w:lang w:val="en-US" w:eastAsia="zh-CN"/>
        </w:rPr>
      </w:pPr>
      <w:r>
        <w:rPr>
          <w:rFonts w:ascii="STZhongsong" w:eastAsia="STZhongsong"/>
          <w:b w:val="0"/>
          <w:sz w:val="40"/>
          <w:szCs w:val="28"/>
          <w:lang w:val="en-US" w:eastAsia="zh-CN"/>
        </w:rPr>
        <w:br w:type="page"/>
      </w:r>
    </w:p>
    <w:p>
      <w:pPr>
        <w:pStyle w:val="2"/>
        <w:bidi w:val="0"/>
        <w:snapToGrid/>
        <w:spacing w:before="156" w:beforeLines="50" w:beforeAutospacing="0" w:after="156" w:afterLines="50" w:afterAutospacing="0" w:line="240" w:lineRule="auto"/>
        <w:ind w:left="0" w:leftChars="0" w:right="0" w:rightChars="0" w:firstLine="0" w:firstLineChars="0"/>
        <w:jc w:val="center"/>
        <w:rPr>
          <w:rFonts w:ascii="STZhongsong" w:eastAsia="STZhongsong"/>
          <w:b w:val="0"/>
          <w:sz w:val="40"/>
          <w:szCs w:val="28"/>
          <w:lang w:val="en-US" w:eastAsia="zh-CN"/>
        </w:rPr>
      </w:pPr>
      <w:r>
        <w:rPr>
          <w:rFonts w:ascii="STZhongsong" w:eastAsia="STZhongsong"/>
          <w:b w:val="0"/>
          <w:sz w:val="40"/>
          <w:szCs w:val="28"/>
          <w:lang w:val="en-US" w:eastAsia="zh-CN"/>
        </w:rPr>
        <w:t>金融科技如何在严监管下创新发力</w:t>
      </w:r>
    </w:p>
    <w:p>
      <w:pPr>
        <w:rPr>
          <w:lang w:val="en-US" w:eastAsia="zh-CN"/>
        </w:rPr>
      </w:pPr>
    </w:p>
    <w:p>
      <w:pPr>
        <w:rPr>
          <w:lang w:val="en-US" w:eastAsia="zh-CN"/>
        </w:rPr>
      </w:pPr>
    </w:p>
    <w:p>
      <w:pPr>
        <w:keepNext w:val="0"/>
        <w:keepLines w:val="0"/>
        <w:widowControl/>
        <w:suppressLineNumbers w:val="0"/>
        <w:snapToGrid/>
        <w:spacing w:beforeAutospacing="0" w:afterAutospacing="0" w:line="240" w:lineRule="auto"/>
        <w:ind w:left="0" w:leftChars="0" w:right="0" w:rightChars="0" w:firstLine="0" w:firstLineChars="0"/>
        <w:jc w:val="both"/>
        <w:rPr>
          <w:rFonts w:hint="eastAsia"/>
          <w:color w:val="auto"/>
          <w:lang w:val="en-US" w:eastAsia="zh-CN"/>
        </w:rPr>
      </w:pPr>
      <w:r>
        <w:rPr>
          <w:rFonts w:hint="eastAsia" w:ascii="KaiTi" w:eastAsia="KaiTi"/>
          <w:b w:val="0"/>
          <w:bCs/>
          <w:i w:val="0"/>
          <w:color w:val="auto"/>
          <w:sz w:val="24"/>
          <w:lang w:val="en-US" w:eastAsia="zh-CN"/>
        </w:rPr>
        <w:t>摘要：</w:t>
      </w:r>
      <w:r>
        <w:rPr>
          <w:rFonts w:hint="eastAsia" w:ascii="KaiTi" w:hAnsi="SimSun" w:eastAsia="KaiTi" w:cs="SimSun"/>
          <w:b w:val="0"/>
          <w:i w:val="0"/>
          <w:color w:val="auto"/>
          <w:kern w:val="0"/>
          <w:sz w:val="21"/>
          <w:szCs w:val="23"/>
          <w:lang w:val="en-US" w:eastAsia="zh-CN" w:bidi="ar"/>
        </w:rPr>
        <w:t>金融科技不断暴露的行业风险问题表明现行的监管模式存在诸多不足。近年来，大数据、人工智能、区块链等信息技术在金融领域的应用，使政府监管转型变严。本文在对相关概念进行梳理的基础上，总结了当前我国金融科技监管对金融科技企业的影响。进一步剖析了政府的监管。最后，围绕存在的问题，提出金融科技如何突破监管实现创新发力的建议。</w:t>
      </w:r>
    </w:p>
    <w:p>
      <w:pPr>
        <w:ind w:firstLine="420" w:firstLineChars="0"/>
        <w:rPr>
          <w:rFonts w:hint="eastAsia"/>
          <w:lang w:val="en-US" w:eastAsia="zh-CN"/>
        </w:rPr>
      </w:pPr>
    </w:p>
    <w:p>
      <w:pPr>
        <w:snapToGrid/>
        <w:spacing w:before="156" w:beforeLines="50" w:beforeAutospacing="0" w:after="156" w:afterLines="50" w:afterAutospacing="0" w:line="240" w:lineRule="auto"/>
        <w:ind w:left="0" w:leftChars="0" w:right="0" w:rightChars="0" w:firstLine="0" w:firstLineChars="0"/>
        <w:jc w:val="both"/>
        <w:rPr>
          <w:rFonts w:hint="default"/>
          <w:lang w:val="en-US" w:eastAsia="zh-CN"/>
        </w:rPr>
      </w:pPr>
      <w:r>
        <w:rPr>
          <w:rFonts w:hint="eastAsia" w:ascii="KaiTi" w:eastAsia="KaiTi"/>
          <w:b w:val="0"/>
          <w:bCs/>
          <w:i w:val="0"/>
          <w:sz w:val="24"/>
          <w:lang w:val="en-US" w:eastAsia="zh-CN"/>
        </w:rPr>
        <w:t>关键词:</w:t>
      </w:r>
      <w:r>
        <w:rPr>
          <w:rFonts w:hint="eastAsia" w:ascii="KaiTi" w:eastAsia="KaiTi"/>
          <w:b w:val="0"/>
          <w:i w:val="0"/>
          <w:sz w:val="21"/>
          <w:lang w:val="en-US" w:eastAsia="zh-CN"/>
        </w:rPr>
        <w:t>金融科技；政府监管；金融创新</w:t>
      </w:r>
    </w:p>
    <w:p>
      <w:pPr>
        <w:ind w:firstLine="420" w:firstLineChars="0"/>
        <w:rPr>
          <w:rFonts w:hint="eastAsia"/>
          <w:lang w:val="en-US" w:eastAsia="zh-CN"/>
        </w:rPr>
      </w:pPr>
    </w:p>
    <w:p>
      <w:pPr>
        <w:pStyle w:val="2"/>
        <w:bidi w:val="0"/>
        <w:snapToGrid/>
        <w:spacing w:before="156" w:beforeLines="50" w:beforeAutospacing="0" w:after="156" w:afterLines="50" w:afterAutospacing="0" w:line="720" w:lineRule="auto"/>
        <w:ind w:left="0" w:leftChars="0" w:right="0" w:rightChars="0" w:firstLine="0" w:firstLineChars="0"/>
        <w:jc w:val="both"/>
        <w:outlineLvl w:val="0"/>
        <w:rPr>
          <w:rFonts w:hint="eastAsia" w:ascii="SimSun" w:eastAsia="SimSun"/>
          <w:b/>
          <w:sz w:val="32"/>
          <w:lang w:val="en-US" w:eastAsia="zh-CN"/>
        </w:rPr>
      </w:pPr>
      <w:r>
        <w:rPr>
          <w:rFonts w:hint="eastAsia" w:ascii="SimSun" w:eastAsia="SimSun"/>
          <w:b/>
          <w:sz w:val="32"/>
          <w:lang w:val="en-US" w:eastAsia="zh-CN"/>
        </w:rPr>
        <w:t>一、金融科技的解释，现状</w:t>
      </w:r>
    </w:p>
    <w:p>
      <w:pPr>
        <w:snapToGrid/>
        <w:spacing w:before="156" w:beforeLines="50" w:beforeAutospacing="0" w:after="156" w:afterLines="50" w:afterAutospacing="0" w:line="240" w:lineRule="auto"/>
        <w:ind w:left="0" w:leftChars="0" w:firstLine="420" w:firstLineChars="200"/>
        <w:rPr>
          <w:rFonts w:hint="default" w:ascii="SimSun" w:eastAsia="SimSun"/>
          <w:sz w:val="21"/>
          <w:lang w:val="en-US" w:eastAsia="zh-CN"/>
        </w:rPr>
      </w:pPr>
      <w:r>
        <w:rPr>
          <w:rFonts w:hint="eastAsia" w:ascii="SimSun" w:eastAsia="SimSun"/>
          <w:sz w:val="21"/>
          <w:lang w:val="en-US" w:eastAsia="zh-CN"/>
        </w:rPr>
        <w:t>金融科技是近几年快速发展的热点，以区块链、大数据、数字货币、人工智能等技术为代表，而且区块链还被中央指示要重点发展，最近中央也大力招募科技金融人才发展央行数字货币，这中央对金融科技的重视说明其对于国家发展的重要性，。最近关于金融科技，除了科技本身的发展，还为借贷、监管、金融市场等方面进行深入的更新。</w:t>
      </w:r>
    </w:p>
    <w:p>
      <w:pPr>
        <w:bidi w:val="0"/>
        <w:ind w:firstLine="420" w:firstLineChars="0"/>
        <w:rPr>
          <w:rFonts w:ascii="DLF-32769-4-1202867490" w:hAnsi="DLF-32769-4-1202867490" w:eastAsia="DLF-32769-4-1202867490" w:cs="DLF-32769-4-1202867490"/>
          <w:color w:val="231F20"/>
          <w:kern w:val="0"/>
          <w:szCs w:val="19"/>
          <w:lang w:val="en-US" w:eastAsia="zh-CN" w:bidi="ar"/>
        </w:rPr>
      </w:pPr>
      <w:r>
        <w:rPr>
          <w:lang w:val="en-US" w:eastAsia="zh-CN"/>
        </w:rPr>
        <w:t>（</w:t>
      </w:r>
      <w:r>
        <w:rPr>
          <w:rFonts w:hint="default"/>
          <w:lang w:val="en-US" w:eastAsia="zh-CN"/>
        </w:rPr>
        <w:t>一）金融科技企业主要分布在经济发达地区金融</w:t>
      </w:r>
      <w:bookmarkStart w:id="0" w:name="_GoBack"/>
      <w:bookmarkEnd w:id="0"/>
      <w:r>
        <w:rPr>
          <w:rFonts w:hint="default"/>
          <w:lang w:val="en-US" w:eastAsia="zh-CN"/>
        </w:rPr>
        <w:t>科技属于技术和资本密集型行业，对尖端人力资源的需求大。同时，金融科技的发展需要有创新、包容的发展环境。目前国内金融科技企业主要分布在北京、上海、深圳等经济发达地区（见图</w:t>
      </w:r>
      <w:r>
        <w:rPr>
          <w:lang w:val="en-US" w:eastAsia="zh-CN"/>
        </w:rPr>
        <w:t>1</w:t>
      </w:r>
      <w:r>
        <w:rPr>
          <w:rFonts w:hint="default"/>
          <w:lang w:val="en-US" w:eastAsia="zh-CN"/>
        </w:rPr>
        <w:t>），这些地区的软硬件条件对于金融科技企业的生根、发展具有强有力的推动作用。以北京为例，依托中关村国家自主创新示范区的创新优势，以及金融资源优势，北京市聚集了大量的金融科技企业。其中，以</w:t>
      </w:r>
      <w:r>
        <w:rPr>
          <w:lang w:val="en-US" w:eastAsia="zh-CN"/>
        </w:rPr>
        <w:t>人工智能、</w:t>
      </w:r>
      <w:r>
        <w:rPr>
          <w:rFonts w:hint="default"/>
          <w:lang w:val="en-US" w:eastAsia="zh-CN"/>
        </w:rPr>
        <w:t>大数据、区块链等为技术专长的底层科技类企业数量位居全国前列。截至</w:t>
      </w:r>
      <w:r>
        <w:rPr>
          <w:lang w:val="en-US" w:eastAsia="zh-CN"/>
        </w:rPr>
        <w:t>2018</w:t>
      </w:r>
      <w:r>
        <w:rPr>
          <w:rFonts w:hint="default"/>
          <w:lang w:val="en-US" w:eastAsia="zh-CN"/>
        </w:rPr>
        <w:t>年5月，北京的人工智能企业达1070家，约占全国的26%；获得风险投资的人工智能企业有431家，约占全国的35%，中关村已成为我国人工智能创新高地。2018年，北京印发《北京市促进金融科技发展规划（2018年-2022年）》，力争到2022年底，涌现5-10家国际知名的金融科技领军企业，</w:t>
      </w:r>
      <w:r>
        <w:rPr>
          <w:lang w:val="en-US" w:eastAsia="zh-CN"/>
        </w:rPr>
        <w:t>为金融科技企业发展营造良好的政策环境。</w:t>
      </w:r>
    </w:p>
    <w:p>
      <w:pPr>
        <w:keepNext w:val="0"/>
        <w:keepLines w:val="0"/>
        <w:widowControl/>
        <w:suppressLineNumbers w:val="0"/>
        <w:jc w:val="center"/>
        <w:rPr>
          <w:rFonts w:ascii="DLF-32769-4-1202867490" w:hAnsi="DLF-32769-4-1202867490" w:eastAsia="DLF-32769-4-1202867490" w:cs="DLF-32769-4-1202867490"/>
          <w:color w:val="231F20"/>
          <w:kern w:val="0"/>
          <w:sz w:val="19"/>
          <w:szCs w:val="19"/>
          <w:lang w:val="en-US" w:eastAsia="zh-CN" w:bidi="ar"/>
        </w:rPr>
      </w:pPr>
      <w:r>
        <w:drawing>
          <wp:inline distT="0" distB="0" distL="114300" distR="114300">
            <wp:extent cx="3634740" cy="199644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3634740" cy="1996440"/>
                    </a:xfrm>
                    <a:prstGeom prst="rect">
                      <a:avLst/>
                    </a:prstGeom>
                    <a:noFill/>
                    <a:ln>
                      <a:noFill/>
                    </a:ln>
                  </pic:spPr>
                </pic:pic>
              </a:graphicData>
            </a:graphic>
          </wp:inline>
        </w:drawing>
      </w:r>
    </w:p>
    <w:p>
      <w:pPr>
        <w:bidi w:val="0"/>
        <w:ind w:firstLine="420" w:firstLineChars="0"/>
        <w:rPr>
          <w:rFonts w:hint="default"/>
          <w:lang w:val="en-US" w:eastAsia="zh-CN"/>
        </w:rPr>
      </w:pPr>
      <w:r>
        <w:rPr>
          <w:rFonts w:hint="default"/>
          <w:lang w:val="en-US" w:eastAsia="zh-CN"/>
        </w:rPr>
        <w:t>（二）金融科技企业多为成立5-10年的年轻企业由于金融科技在国内的起步时间较晚，因此国内的金融科技企业大多为成立时间较短的年轻企业。毕马威发布的2019年中国金融科技企业50强名单中，44%的企业成立时间为3-5年，37%的企业成立时间达到5-10年，成立时间超过10年的只有5%，另外还有14%的初创型企业（1-3年）。年轻的金融科技企业具有组织架构简单、轻资产运营、市场化程度较高的共性。（三）金融科技企业已初步形成三种主要业务形态一是底层科技类金融科技企业，此类企业具有科技公司的基因，专注于底层技术的研发和应用，强化基础设施建设，成为金融科技生态体系中的重要土壤，以布比区块链、价格天地等企业为代表。二是金融服务类金融科技企业，这类企业以金融服务为核心，依托流量、场景优势，及对金融行业的深度理解，在支付、保险、财富管理等细分领域深耕，以苏宁金融、马上金融以及某些互联网银行（微众银行、网商银行）为代表。三是综合发展类金融科技企业，这类企业既具有扎实的科技能力，同时又拥有深厚的金融服务水平，成为该生态中的头部企业，如百度、阿里、腾讯、京东（以下简称“BATJ”）等。从毕马威发布的2019年中国金融科技企业50强名单来看（见图2），目前国内从事金融服务的金融科技企业较多（38家），其次是单纯做底层架构的企业（13家），综合类企业由于对技术和服务水平的要求都较高，数量最少（11家）。</w:t>
      </w:r>
    </w:p>
    <w:p>
      <w:pPr>
        <w:keepNext w:val="0"/>
        <w:keepLines w:val="0"/>
        <w:widowControl/>
        <w:suppressLineNumbers w:val="0"/>
        <w:jc w:val="center"/>
        <w:rPr>
          <w:rFonts w:ascii="DLF-32769-3-145368575" w:hAnsi="DLF-32769-3-145368575" w:eastAsia="DLF-32769-3-145368575" w:cs="DLF-32769-3-145368575"/>
          <w:color w:val="231F20"/>
          <w:kern w:val="0"/>
          <w:sz w:val="19"/>
          <w:szCs w:val="19"/>
          <w:lang w:val="en-US" w:eastAsia="zh-CN" w:bidi="ar"/>
        </w:rPr>
      </w:pPr>
      <w:r>
        <w:drawing>
          <wp:inline distT="0" distB="0" distL="114300" distR="114300">
            <wp:extent cx="3223260" cy="220980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223260" cy="2209800"/>
                    </a:xfrm>
                    <a:prstGeom prst="rect">
                      <a:avLst/>
                    </a:prstGeom>
                    <a:noFill/>
                    <a:ln>
                      <a:noFill/>
                    </a:ln>
                  </pic:spPr>
                </pic:pic>
              </a:graphicData>
            </a:graphic>
          </wp:inline>
        </w:drawing>
      </w:r>
    </w:p>
    <w:p>
      <w:pPr>
        <w:bidi w:val="0"/>
        <w:ind w:firstLine="420" w:firstLineChars="0"/>
        <w:rPr>
          <w:rFonts w:hint="default"/>
          <w:lang w:val="en-US" w:eastAsia="zh-CN"/>
        </w:rPr>
      </w:pPr>
      <w:r>
        <w:rPr>
          <w:rFonts w:hint="default"/>
          <w:lang w:val="en-US" w:eastAsia="zh-CN"/>
        </w:rPr>
        <w:t>（四）金融科技企业已搭建起梯形运行架构金融科技企业具有较强的科技属性，在数据资源、技术能力、场景链接方面具有明显优势（见图3）。金融科技企业具有海量数据，可转化为数据资产，海量数据的积累是发展金融科技企业最重要的土壤，而金融科技企业在数据积累方面具有绝对优势。BATJ得益于丰富的场景布局，积累了庞大的用户规模。金融科技企业秉承技术驱动业务发展的理念，高度重视技术投入、新兴技术的追踪和开发。目前人工智能与机器学习、大数据、云计算是金融科技企业最主流的研发和应用方向。5G技术的研发和应用开始在金融科技企业中崭露头角。除技术水平外，金融科技企业的底层架构能力还表现在融合各类技术实现金融建模。例如在人工智能领域，为解决行业间、企业间的数据孤岛，及数据隐私问题，微众银行倡导的“联邦学习”提供了一种全新的思路。在扎实的底层架构支撑下，金融科技企业开发了多种技术和模型的运用场景，拥有丰富的场景中台，通过在这些场景的数字化深耕，金融科技企业建立起一套特有的金融服务能力。在对接金融服务市场方面，金融科技企业主要依托强大的数据能力和流量优势，深挖长尾客户资源，深耕普惠金融业务，包括B端的小微企业贷款，例如，针对淘宝、天猫平台的小微商家和创业者，推出“小微企业成长计划”，助力平台小微企业发展；以及C端的个人消费贷，如微众银行的“微粒贷”，依托大数据分析精准寻找长尾客户，通过人工智能+大数据分析对金融产品进行精准定价，借助大数据风控，对业务的贷前贷中贷后进行追踪。</w:t>
      </w:r>
    </w:p>
    <w:p>
      <w:pPr>
        <w:keepNext w:val="0"/>
        <w:keepLines w:val="0"/>
        <w:widowControl/>
        <w:suppressLineNumbers w:val="0"/>
        <w:jc w:val="center"/>
        <w:rPr>
          <w:rFonts w:ascii="DLF-32769-3-1336036758" w:hAnsi="DLF-32769-3-1336036758" w:eastAsia="DLF-32769-3-1336036758" w:cs="DLF-32769-3-1336036758"/>
          <w:color w:val="231F20"/>
          <w:kern w:val="0"/>
          <w:sz w:val="19"/>
          <w:szCs w:val="19"/>
          <w:lang w:val="en-US" w:eastAsia="zh-CN" w:bidi="ar"/>
        </w:rPr>
      </w:pPr>
      <w:r>
        <w:drawing>
          <wp:inline distT="0" distB="0" distL="114300" distR="114300">
            <wp:extent cx="3368040" cy="199644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3368040" cy="1996440"/>
                    </a:xfrm>
                    <a:prstGeom prst="rect">
                      <a:avLst/>
                    </a:prstGeom>
                    <a:noFill/>
                    <a:ln>
                      <a:noFill/>
                    </a:ln>
                  </pic:spPr>
                </pic:pic>
              </a:graphicData>
            </a:graphic>
          </wp:inline>
        </w:drawing>
      </w:r>
    </w:p>
    <w:p>
      <w:pPr>
        <w:numPr>
          <w:ilvl w:val="0"/>
          <w:numId w:val="1"/>
        </w:numPr>
        <w:bidi w:val="0"/>
        <w:ind w:firstLine="420" w:firstLineChars="0"/>
        <w:rPr>
          <w:rFonts w:hint="default"/>
          <w:lang w:val="en-US" w:eastAsia="zh-CN"/>
        </w:rPr>
      </w:pPr>
      <w:r>
        <w:rPr>
          <w:rFonts w:hint="default"/>
          <w:lang w:val="en-US" w:eastAsia="zh-CN"/>
        </w:rPr>
        <w:t>金融科技企业积极向外开展科技赋能主要有三种模式。一是2F2C模式，通过金融机构促进个人理财、消费金融等个人金融业务发展。二是通过2F2B模式，赋能中小金融机构，解决中小微企业融资难题，支持实体经济发展。三是2B模式，赋能中小微企业数字化转型，主要有软件赋能、金融云赋能、开放平台赋能、开源模式赋能和咨询服务赋能五种赋能方式。</w:t>
      </w:r>
    </w:p>
    <w:p>
      <w:pPr>
        <w:numPr>
          <w:ilvl w:val="0"/>
          <w:numId w:val="1"/>
        </w:numPr>
        <w:bidi w:val="0"/>
        <w:ind w:left="0" w:leftChars="0" w:firstLine="420" w:firstLineChars="0"/>
        <w:rPr>
          <w:rFonts w:hint="default"/>
          <w:lang w:val="en-US" w:eastAsia="zh-CN"/>
        </w:rPr>
      </w:pPr>
      <w:r>
        <w:rPr>
          <w:rFonts w:hint="default"/>
          <w:lang w:val="en-US" w:eastAsia="zh-CN"/>
        </w:rPr>
        <w:t>头部金融科技企业正加快向海外市场扩张国内市场竞争日趋激烈，头部金融科技企业积极向以东南亚为主的国家和地区进行海外扩张。基本以支付、数据中心、云平台、电商系统等金融基础设施打开海外市场，联通国内外金融服务市场，再以互联网金融产品提供增值服务，扩大客户范围。例如阿里巴巴海外发展战略集中于支付、数据、物流、电商，其旗下蚂蚁金服通过收购当地机构或与当地机构共建的方式深入印度、泰国、印尼、菲律宾、韩国、印度尼西亚等多个国家；腾讯以“技术+业务”双轮驱动模式开发海外市场；京东以建立海外分公司、合资公司等方式在印度尼西亚、泰国、越南、哈萨克斯坦等东南亚国家和地区展开投资与合作；其他企业海外布局情况见表1</w:t>
      </w:r>
      <w:r>
        <w:rPr>
          <w:rFonts w:hint="eastAsia"/>
          <w:vertAlign w:val="superscript"/>
          <w:lang w:val="en-US" w:eastAsia="zh-CN"/>
        </w:rPr>
        <w:t>[1]</w:t>
      </w:r>
      <w:r>
        <w:rPr>
          <w:rFonts w:hint="eastAsia"/>
          <w:lang w:val="en-US" w:eastAsia="zh-CN"/>
        </w:rPr>
        <w:t>。</w:t>
      </w:r>
    </w:p>
    <w:p>
      <w:pPr>
        <w:keepNext w:val="0"/>
        <w:keepLines w:val="0"/>
        <w:widowControl/>
        <w:suppressLineNumbers w:val="0"/>
        <w:jc w:val="left"/>
      </w:pPr>
    </w:p>
    <w:p>
      <w:pPr>
        <w:keepNext w:val="0"/>
        <w:keepLines w:val="0"/>
        <w:widowControl/>
        <w:suppressLineNumbers w:val="0"/>
        <w:jc w:val="center"/>
      </w:pPr>
      <w:r>
        <w:drawing>
          <wp:inline distT="0" distB="0" distL="114300" distR="114300">
            <wp:extent cx="3091815" cy="3782060"/>
            <wp:effectExtent l="0" t="0" r="1905"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3091815" cy="37820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snapToGrid/>
        <w:spacing w:before="156" w:beforeLines="50" w:beforeAutospacing="0" w:after="156" w:afterLines="50" w:afterAutospacing="0" w:line="240" w:lineRule="auto"/>
        <w:ind w:left="0" w:leftChars="0" w:firstLine="420" w:firstLineChars="200"/>
        <w:rPr>
          <w:rFonts w:hint="default" w:ascii="SimSun" w:eastAsia="SimSun"/>
          <w:sz w:val="21"/>
          <w:lang w:val="en-US" w:eastAsia="zh-CN"/>
        </w:rPr>
      </w:pPr>
      <w:r>
        <w:rPr>
          <w:rFonts w:hint="eastAsia" w:ascii="SimSun" w:eastAsia="SimSun"/>
          <w:sz w:val="21"/>
          <w:lang w:val="en-US" w:eastAsia="zh-CN"/>
        </w:rPr>
        <w:t>金融科技领域吸引了大量资本的关注和投入，成为全球创投机构公认的“风</w:t>
      </w:r>
      <w:r>
        <w:rPr>
          <w:rFonts w:hint="default" w:ascii="SimSun" w:eastAsia="SimSun"/>
          <w:sz w:val="21"/>
          <w:lang w:val="en-US" w:eastAsia="zh-CN"/>
        </w:rPr>
        <w:t>口”。根据著名咨询公司CBInsights的报告，2016年全球金融科技行业风险投资大幅度增长，投资总额达127亿美元，中国金融科技行业以46亿美元的投资额占据绝对地位。全球排名前22位的金融科技独角兽公司中有7家来自中国，中国金融科技发展领跑全球。金融科技是数据驱动的金融创新，它以数字技术的巨大进步为前提，创造出一系列金融相关的新产品、新模式、新业态，突破了传统金融服务在时间和空间上的约束，金融科技所具备金融包容效应，能够显著地缓解信息不对称、降低交易成本，有效提高金融服务覆盖率，为广大中小企业开辟新融资渠道，缓解企业融资约束，有助于激活企业地创新活力。因此，厘清金融科技发展对企业创新的内在影响机制，全面刻画金融科技对企业创新行为的影响，对提升中国经济增长的质量和效益，培育经济增长新动能，具有重要的现实意义。</w:t>
      </w:r>
    </w:p>
    <w:p>
      <w:pPr>
        <w:snapToGrid/>
        <w:spacing w:before="156" w:beforeLines="50" w:beforeAutospacing="0" w:after="156" w:afterLines="50" w:afterAutospacing="0" w:line="240" w:lineRule="auto"/>
        <w:ind w:left="0" w:leftChars="0" w:firstLine="0"/>
        <w:rPr>
          <w:rFonts w:hint="default" w:ascii="SimSun" w:eastAsia="SimSun"/>
          <w:sz w:val="21"/>
          <w:lang w:val="en-US" w:eastAsia="zh-CN"/>
        </w:rPr>
      </w:pPr>
      <w:r>
        <w:rPr>
          <w:rFonts w:ascii="SimSun" w:eastAsia="SimSun"/>
          <w:sz w:val="21"/>
          <w:lang w:val="en-US" w:eastAsia="zh-CN"/>
        </w:rPr>
        <w:t>金融科技通过技术改进金融体系，推动金融创新，大</w:t>
      </w:r>
      <w:r>
        <w:rPr>
          <w:rFonts w:hint="default" w:ascii="SimSun" w:eastAsia="SimSun"/>
          <w:sz w:val="21"/>
          <w:lang w:val="en-US" w:eastAsia="zh-CN"/>
        </w:rPr>
        <w:t>数据等相关技术的应用改善金融市场信息透明度、降低交易成本的同时，提升市场配置金融资源的能力，并且金融科技发展到一定阶段，将会跨过金融中介，直接渗透到实体经济领域，直接对接实体企业和客户，进一步缓解企业融资约束，提升企业创新能力。基于博弈论视角，基于大数据为核心的金融科技创新，能在一定程度上化解投资方与中小企业之间的信息不对称，有效解决中小企业融资难题并提高创新产出。</w:t>
      </w:r>
    </w:p>
    <w:p>
      <w:pPr>
        <w:pStyle w:val="2"/>
        <w:bidi w:val="0"/>
        <w:snapToGrid/>
        <w:spacing w:before="156" w:beforeLines="50" w:beforeAutospacing="0" w:after="156" w:afterLines="50" w:afterAutospacing="0" w:line="720" w:lineRule="auto"/>
        <w:ind w:left="0" w:leftChars="0" w:right="0" w:rightChars="0" w:firstLine="0" w:firstLineChars="0"/>
        <w:jc w:val="both"/>
        <w:outlineLvl w:val="0"/>
        <w:rPr>
          <w:rFonts w:hint="eastAsia" w:ascii="SimSun" w:eastAsia="SimSun"/>
          <w:b/>
          <w:sz w:val="32"/>
          <w:lang w:val="en-US" w:eastAsia="zh-CN"/>
        </w:rPr>
      </w:pPr>
      <w:r>
        <w:rPr>
          <w:rFonts w:hint="eastAsia" w:ascii="SimSun" w:eastAsia="SimSun"/>
          <w:b/>
          <w:sz w:val="32"/>
          <w:lang w:val="en-US" w:eastAsia="zh-CN"/>
        </w:rPr>
        <w:t>二、政府的监管现状</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hint="eastAsia" w:ascii="SimSun" w:eastAsia="SimSun"/>
          <w:color w:val="auto"/>
          <w:sz w:val="21"/>
          <w:lang w:val="en-US" w:eastAsia="zh-CN"/>
        </w:rPr>
      </w:pPr>
      <w:r>
        <w:rPr>
          <w:rFonts w:hint="eastAsia" w:ascii="SimSun" w:hAnsi="SimSun" w:eastAsia="SimSun" w:cs="SimSun"/>
          <w:color w:val="auto"/>
          <w:kern w:val="0"/>
          <w:sz w:val="21"/>
          <w:szCs w:val="21"/>
          <w:lang w:val="en-US" w:eastAsia="zh-CN" w:bidi="ar"/>
        </w:rPr>
        <w:t>金融科技是技术驱动的金融创新，为金融服务实体经济提供了新的途径，为推动金融转型升级提供了新的引擎。但在金融科技快速发展的同时，金融业务边界不断模糊化，也带来信息（尤其是个人信息）安全、网络安全等问题，对金融监管提出了较大挑战。</w:t>
      </w:r>
      <w:r>
        <w:rPr>
          <w:rFonts w:hint="eastAsia" w:ascii="SimSun" w:eastAsia="SimSun"/>
          <w:color w:val="auto"/>
          <w:sz w:val="21"/>
          <w:lang w:val="en-US" w:eastAsia="zh-CN"/>
        </w:rPr>
        <w:t>金融科技可以算是新兴事务、新兴行业，全球的国家都是初次发展，在探索这个技术前沿的过程中出现问题在所难免，这时就需要政府对其进行相适应的监管和下达行业规范，虽然这一过程存在滞后性，但是监管的举措对金融市场的良好稳定运行仍具有很大的作用。阿里巴巴旗下的蚂蚁金服就因其利用小额的准备资金进行放贷服务取得巨额的收益被中央约谈，使其上市被中止，其行为钻了法律的漏洞，缺少对于风险的合理控制。除此，不少科技企业基于其原有技术优势，逐步形成垄断，这不利于市场的良性发展，破坏良性竞争的环境，因此也需要政府对这些企业进行约谈、实施或硬或软的监管。又如以比特币、狗狗币为代表的数字货币使不少的投资者和平台相继获益，而我国出于特定原因不允许私人数字货币的发行流通，这种缺乏背书、风险性极大的投机性资产就需要政府密切关注、适当监管。</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hint="eastAsia" w:ascii="SimSun" w:hAnsi="SimSun" w:eastAsia="SimSun" w:cs="SimSun"/>
          <w:color w:val="auto"/>
          <w:kern w:val="0"/>
          <w:sz w:val="21"/>
          <w:szCs w:val="21"/>
          <w:lang w:val="en-US" w:eastAsia="zh-CN" w:bidi="ar"/>
        </w:rPr>
      </w:pPr>
      <w:r>
        <w:rPr>
          <w:rFonts w:hint="eastAsia" w:ascii="SimSun" w:hAnsi="SimSun" w:eastAsia="SimSun" w:cs="SimSun"/>
          <w:color w:val="auto"/>
          <w:kern w:val="0"/>
          <w:sz w:val="21"/>
          <w:szCs w:val="21"/>
          <w:lang w:val="en-US" w:eastAsia="zh-CN" w:bidi="ar"/>
        </w:rPr>
        <w:t>总体上看，针对金融科技的监管将遵循三个主要原则：一是全覆盖监管，开展金融业务必须要持有相应的牌照，并被纳入相应的监管体系，避免出现监管真空；二是一致性监管，即不同类型的金融机构（或准金融机构），在开展实质相同的业务时，监管的标准应该统一，避免出现监管套利空间和市场竞争的不公平。三是落实宏观审慎要求，管控交叉风险和系统性风险。金融科技创新突破了现有的监管架构，多种类型机构的合作导致风险跨市场、跨机构传递的可能性加大，发展到一定规模后，甚至可能形成潜在的系统性风险隐患。因此，有必要对金融科技创新中的交叉风险进行穿透、识别，并制定相应的监管要求。比如，</w:t>
      </w:r>
      <w:r>
        <w:rPr>
          <w:rFonts w:hint="default" w:ascii="SimSun" w:hAnsi="Times New Roman" w:eastAsia="SimSun" w:cs="Times New Roman"/>
          <w:color w:val="auto"/>
          <w:kern w:val="0"/>
          <w:sz w:val="21"/>
          <w:szCs w:val="21"/>
          <w:lang w:val="en-US" w:eastAsia="zh-CN" w:bidi="ar"/>
        </w:rPr>
        <w:t>2021</w:t>
      </w:r>
      <w:r>
        <w:rPr>
          <w:rFonts w:hint="eastAsia" w:ascii="SimSun" w:hAnsi="SimSun" w:eastAsia="SimSun" w:cs="SimSun"/>
          <w:color w:val="auto"/>
          <w:kern w:val="0"/>
          <w:sz w:val="21"/>
          <w:szCs w:val="21"/>
          <w:lang w:val="en-US" w:eastAsia="zh-CN" w:bidi="ar"/>
        </w:rPr>
        <w:t>年</w:t>
      </w:r>
      <w:r>
        <w:rPr>
          <w:rFonts w:hint="default" w:ascii="SimSun" w:hAnsi="Times New Roman" w:eastAsia="SimSun" w:cs="Times New Roman"/>
          <w:color w:val="auto"/>
          <w:kern w:val="0"/>
          <w:sz w:val="21"/>
          <w:szCs w:val="21"/>
          <w:lang w:val="en-US" w:eastAsia="zh-CN" w:bidi="ar"/>
        </w:rPr>
        <w:t>2</w:t>
      </w:r>
      <w:r>
        <w:rPr>
          <w:rFonts w:hint="eastAsia" w:ascii="SimSun" w:hAnsi="SimSun" w:eastAsia="SimSun" w:cs="SimSun"/>
          <w:color w:val="auto"/>
          <w:kern w:val="0"/>
          <w:sz w:val="21"/>
          <w:szCs w:val="21"/>
          <w:lang w:val="en-US" w:eastAsia="zh-CN" w:bidi="ar"/>
        </w:rPr>
        <w:t>月</w:t>
      </w:r>
      <w:r>
        <w:rPr>
          <w:rFonts w:hint="default" w:ascii="SimSun" w:hAnsi="Times New Roman" w:eastAsia="SimSun" w:cs="Times New Roman"/>
          <w:color w:val="auto"/>
          <w:kern w:val="0"/>
          <w:sz w:val="21"/>
          <w:szCs w:val="21"/>
          <w:lang w:val="en-US" w:eastAsia="zh-CN" w:bidi="ar"/>
        </w:rPr>
        <w:t>20</w:t>
      </w:r>
      <w:r>
        <w:rPr>
          <w:rFonts w:hint="eastAsia" w:ascii="SimSun" w:hAnsi="SimSun" w:eastAsia="SimSun" w:cs="SimSun"/>
          <w:color w:val="auto"/>
          <w:kern w:val="0"/>
          <w:sz w:val="21"/>
          <w:szCs w:val="21"/>
          <w:lang w:val="en-US" w:eastAsia="zh-CN" w:bidi="ar"/>
        </w:rPr>
        <w:t>日，中国银保监会发布《关于进一步规范商业银行互联网贷款业务的通知》，对联合贷款的出资比率、合作对象集中度以及单个银行互联网贷款集中度等提出了监管要求，其目的，就在于控制这类创新中可能存在的交叉风险和系统性风险隐患。未来一段时间，在监管规范的背景下，金融科技以及相关创新将日趋规范，市场竞争也将趋于理性，行业发展的重心将更加集中在如何更有效地提升金融服务效率，便利客户以及更好地服务实体经济发展上。</w:t>
      </w:r>
    </w:p>
    <w:p>
      <w:pPr>
        <w:bidi w:val="0"/>
        <w:snapToGrid/>
        <w:spacing w:before="156" w:beforeLines="50" w:beforeAutospacing="0" w:after="156" w:afterLines="50" w:afterAutospacing="0" w:line="240" w:lineRule="auto"/>
        <w:ind w:left="0" w:leftChars="0" w:firstLine="420" w:firstLineChars="200"/>
        <w:rPr>
          <w:rFonts w:ascii="SimSun" w:eastAsia="SimSun"/>
          <w:sz w:val="21"/>
        </w:rPr>
      </w:pPr>
      <w:r>
        <w:rPr>
          <w:rFonts w:hint="eastAsia" w:ascii="SimSun" w:eastAsia="SimSun"/>
          <w:sz w:val="21"/>
          <w:lang w:val="en-US" w:eastAsia="zh-CN"/>
        </w:rPr>
        <w:t>区别于美国分业监管体制以及英国统一监管体制，我国的互联网金融实行以分业监管为主，机构监管为辅的监管模式。2015年7月1813由央行会同有关部委牵头、起草、制定的《关于促进互联网金融健康发展的指导意见》发布，意见按照“鼓励创新、防范风险、趋利避害、健康发展”的总体要求，初步确定了我国互联网金融监管体系，对我国互联网金融业务的监管进行了职责分工，明确了业务边界。2019年2月2日，中央机构编制并发布了《中国人民银行职能配置、内设机构和人员编制规定》，《规定》显示中国人民银行是国务院组成部门，并将国务院金融稳定发展委员会(简称金融委)办公室设在中国人民银行，由此确定了我国“一委一行两会”的金融监管体系。与原有的“一行三会”监管体系相比，新的互联网金融监管体系强化了监管的协调性，中国人民银行的职能更清晰。</w:t>
      </w:r>
    </w:p>
    <w:p>
      <w:pPr>
        <w:snapToGrid/>
        <w:spacing w:before="156" w:beforeLines="50" w:beforeAutospacing="0" w:after="156" w:afterLines="50" w:afterAutospacing="0" w:line="240" w:lineRule="auto"/>
        <w:ind w:left="0" w:leftChars="0" w:firstLine="0"/>
        <w:rPr>
          <w:rFonts w:hint="eastAsia" w:ascii="SimSun" w:eastAsia="SimSun"/>
          <w:sz w:val="21"/>
          <w:lang w:val="en-US" w:eastAsia="zh-CN"/>
        </w:rPr>
      </w:pPr>
    </w:p>
    <w:p>
      <w:pPr>
        <w:pStyle w:val="2"/>
        <w:bidi w:val="0"/>
        <w:snapToGrid/>
        <w:spacing w:before="156" w:beforeLines="50" w:beforeAutospacing="0" w:after="156" w:afterLines="50" w:afterAutospacing="0" w:line="720" w:lineRule="auto"/>
        <w:ind w:left="0" w:leftChars="0" w:right="0" w:rightChars="0" w:firstLine="0" w:firstLineChars="0"/>
        <w:jc w:val="both"/>
        <w:outlineLvl w:val="0"/>
        <w:rPr>
          <w:rFonts w:hint="eastAsia" w:ascii="SimSun" w:eastAsia="SimSun"/>
          <w:b/>
          <w:sz w:val="32"/>
          <w:lang w:val="en-US" w:eastAsia="zh-CN"/>
        </w:rPr>
      </w:pPr>
      <w:r>
        <w:rPr>
          <w:rFonts w:hint="eastAsia" w:ascii="SimSun" w:eastAsia="SimSun"/>
          <w:b/>
          <w:sz w:val="32"/>
          <w:lang w:val="en-US" w:eastAsia="zh-CN"/>
        </w:rPr>
        <w:t>三、政府监管对金融科技的影响</w:t>
      </w:r>
    </w:p>
    <w:p>
      <w:pPr>
        <w:snapToGrid/>
        <w:spacing w:before="156" w:beforeLines="50" w:beforeAutospacing="0" w:after="156" w:afterLines="50" w:afterAutospacing="0" w:line="240" w:lineRule="auto"/>
        <w:ind w:left="0" w:leftChars="0" w:firstLine="420" w:firstLineChars="200"/>
        <w:rPr>
          <w:rFonts w:hint="eastAsia" w:ascii="SimSun" w:eastAsia="SimSun"/>
          <w:sz w:val="21"/>
          <w:lang w:val="en-US" w:eastAsia="zh-CN"/>
        </w:rPr>
      </w:pPr>
      <w:r>
        <w:rPr>
          <w:rFonts w:hint="eastAsia" w:ascii="SimSun" w:eastAsia="SimSun"/>
          <w:sz w:val="21"/>
          <w:lang w:val="en-US" w:eastAsia="zh-CN"/>
        </w:rPr>
        <w:t>金融科技可以说是中国科技的突破口，结合金融与科技，弥补单凭科技或金融的劣势，这应该也许是政府大力扶持的原因之一。其实，金融科技的发展许多是对于原有事物的创新，如区块链就是对于密码学、去中心化算法的融合创新，数字货币是传统金融和物联网技术和新型支付方式的融合创新等等，因此需要保证金融科技的创新发展环境，使企业能够进行需要的创新尝试。但是其创新的结果有可能影响原有市场秩序的公平稳定，又因其前沿性缺少相关法律的约束，所以政府需要加强对其监管，需要强势介入进行影响力等评估。创新与监管两者的关系就似乎成为矛盾，创新需要自由开放的环境，而监管则需要使创新关在笼子里，因此如今政府对于金融科技的严监管对金融科技的发展形成挑战。</w:t>
      </w:r>
    </w:p>
    <w:p>
      <w:pPr>
        <w:snapToGrid/>
        <w:spacing w:before="156" w:beforeLines="50" w:beforeAutospacing="0" w:after="156" w:afterLines="50" w:afterAutospacing="0" w:line="240" w:lineRule="auto"/>
        <w:ind w:left="0" w:leftChars="0" w:firstLine="420" w:firstLineChars="200"/>
        <w:rPr>
          <w:rFonts w:hint="eastAsia" w:ascii="SimSun" w:eastAsia="SimSun"/>
          <w:sz w:val="21"/>
          <w:lang w:val="en-US" w:eastAsia="zh-CN"/>
        </w:rPr>
      </w:pPr>
    </w:p>
    <w:p>
      <w:pPr>
        <w:pStyle w:val="2"/>
        <w:numPr>
          <w:ilvl w:val="0"/>
          <w:numId w:val="0"/>
        </w:numPr>
        <w:bidi w:val="0"/>
        <w:snapToGrid/>
        <w:spacing w:before="156" w:beforeLines="50" w:beforeAutospacing="0" w:after="156" w:afterLines="50" w:afterAutospacing="0" w:line="720" w:lineRule="auto"/>
        <w:ind w:leftChars="0" w:right="0" w:rightChars="0"/>
        <w:jc w:val="both"/>
        <w:outlineLvl w:val="0"/>
        <w:rPr>
          <w:rFonts w:hint="default"/>
          <w:lang w:val="en-US" w:eastAsia="zh-CN"/>
        </w:rPr>
      </w:pPr>
      <w:r>
        <w:rPr>
          <w:rFonts w:hint="eastAsia" w:ascii="SimSun"/>
          <w:b/>
          <w:sz w:val="32"/>
          <w:lang w:val="en-US" w:eastAsia="zh-CN"/>
        </w:rPr>
        <w:t>四、</w:t>
      </w:r>
      <w:r>
        <w:rPr>
          <w:rFonts w:hint="eastAsia" w:ascii="SimSun" w:eastAsia="SimSun"/>
          <w:b/>
          <w:sz w:val="32"/>
          <w:lang w:val="en-US" w:eastAsia="zh-CN"/>
        </w:rPr>
        <w:t>金融</w:t>
      </w:r>
      <w:r>
        <w:rPr>
          <w:rFonts w:hint="default" w:ascii="SimSun" w:eastAsia="SimSun"/>
          <w:b/>
          <w:sz w:val="32"/>
          <w:lang w:val="en-US" w:eastAsia="zh-CN"/>
        </w:rPr>
        <w:t>创新</w:t>
      </w:r>
    </w:p>
    <w:p>
      <w:pPr>
        <w:keepNext w:val="0"/>
        <w:keepLines w:val="0"/>
        <w:widowControl/>
        <w:suppressLineNumbers w:val="0"/>
        <w:ind w:firstLine="420" w:firstLineChars="0"/>
        <w:jc w:val="left"/>
        <w:rPr>
          <w:rFonts w:hint="default"/>
          <w:lang w:val="en-US" w:eastAsia="zh-CN"/>
        </w:rPr>
      </w:pPr>
      <w:r>
        <w:rPr>
          <w:rFonts w:hint="eastAsia" w:ascii="SimSun" w:hAnsi="SimSun" w:eastAsia="SimSun" w:cs="SimSun"/>
          <w:color w:val="000000"/>
          <w:kern w:val="0"/>
          <w:sz w:val="21"/>
          <w:szCs w:val="21"/>
          <w:lang w:val="en-US" w:eastAsia="zh-CN" w:bidi="ar"/>
        </w:rPr>
        <w:t>党的十九届五中全会把坚持创新摆在我国现代化建设全局中的核心地位，并首次提出科技自立自强作为国家发展的战略支撑新高度。这意味着我国“十四五”时期以及在更长的未来，要实现经济的高质量发展，满足人民日益增长的美好生活需要，关键要坚持创新驱动发展。作为十四五开局之年，</w:t>
      </w:r>
      <w:r>
        <w:rPr>
          <w:rFonts w:hint="default" w:ascii="Times New Roman" w:hAnsi="Times New Roman" w:eastAsia="SimSun" w:cs="Times New Roman"/>
          <w:color w:val="000000"/>
          <w:kern w:val="0"/>
          <w:sz w:val="21"/>
          <w:szCs w:val="21"/>
          <w:lang w:val="en-US" w:eastAsia="zh-CN" w:bidi="ar"/>
        </w:rPr>
        <w:t>2021</w:t>
      </w:r>
      <w:r>
        <w:rPr>
          <w:rFonts w:hint="eastAsia" w:ascii="SimSun" w:hAnsi="SimSun" w:eastAsia="SimSun" w:cs="SimSun"/>
          <w:color w:val="000000"/>
          <w:kern w:val="0"/>
          <w:sz w:val="21"/>
          <w:szCs w:val="21"/>
          <w:lang w:val="en-US" w:eastAsia="zh-CN" w:bidi="ar"/>
        </w:rPr>
        <w:t>年的政府工作报告明确指出要健全稳定支持机制，大幅增加投入，表明了我国在支持基础研究、提升科技创新能力方面的决心</w:t>
      </w:r>
      <w:r>
        <w:rPr>
          <w:rFonts w:hint="eastAsia" w:ascii="SimSun" w:hAnsi="SimSun" w:cs="SimSun"/>
          <w:color w:val="000000"/>
          <w:kern w:val="0"/>
          <w:sz w:val="21"/>
          <w:szCs w:val="21"/>
          <w:vertAlign w:val="superscript"/>
          <w:lang w:val="en-US" w:eastAsia="zh-CN" w:bidi="ar"/>
        </w:rPr>
        <w:t>[2]</w:t>
      </w:r>
      <w:r>
        <w:rPr>
          <w:rFonts w:hint="eastAsia" w:ascii="SimSun" w:hAnsi="SimSun" w:eastAsia="SimSun" w:cs="SimSun"/>
          <w:color w:val="000000"/>
          <w:kern w:val="0"/>
          <w:sz w:val="21"/>
          <w:szCs w:val="21"/>
          <w:lang w:val="en-US" w:eastAsia="zh-CN" w:bidi="ar"/>
        </w:rPr>
        <w:t>。</w:t>
      </w:r>
    </w:p>
    <w:p>
      <w:pPr>
        <w:bidi w:val="0"/>
        <w:snapToGrid/>
        <w:spacing w:before="156" w:beforeLines="50" w:beforeAutospacing="0" w:after="156" w:afterLines="50" w:afterAutospacing="0" w:line="240" w:lineRule="auto"/>
        <w:ind w:left="0" w:leftChars="0" w:firstLine="420" w:firstLineChars="200"/>
        <w:jc w:val="left"/>
        <w:rPr>
          <w:rFonts w:hint="eastAsia" w:ascii="SimSun" w:eastAsia="SimSun"/>
          <w:sz w:val="21"/>
          <w:lang w:val="en-US" w:eastAsia="zh-CN"/>
        </w:rPr>
      </w:pPr>
      <w:r>
        <w:rPr>
          <w:rFonts w:hint="default" w:ascii="SimSun" w:eastAsia="SimSun"/>
          <w:sz w:val="21"/>
          <w:lang w:val="en-US" w:eastAsia="zh-CN"/>
        </w:rPr>
        <w:t>金融创新的定义始于熊彼特在《金融发展理论》中对创新的描述：创新是建立一种新的生产函数，即企业对生产要素或生产条件在生产体系中的重新组合。熊彼特认为创新涵盖五层含义，新产品、新的生产方法、新的市场、新的原材料供应和新的组织形式。在熊彼特建立创新理论之后，创新理论开始与各个领域结合。到20世纪70年代，有些学者将创新理论与金融理论相结合，将其用于金融理论的研究，形成了不同派别的金融创新理论。本书将主要介绍其中具有代表性和较大影响力的四个理论流派</w:t>
      </w:r>
      <w:r>
        <w:rPr>
          <w:rFonts w:hint="eastAsia" w:ascii="SimSun" w:eastAsia="SimSun"/>
          <w:sz w:val="21"/>
          <w:lang w:val="en-US" w:eastAsia="zh-CN"/>
        </w:rPr>
        <w:t>。</w:t>
      </w:r>
    </w:p>
    <w:p>
      <w:pPr>
        <w:bidi w:val="0"/>
        <w:snapToGrid/>
        <w:spacing w:before="156" w:beforeLines="50" w:beforeAutospacing="0" w:after="156" w:afterLines="50" w:afterAutospacing="0" w:line="240" w:lineRule="auto"/>
        <w:ind w:left="0" w:leftChars="0" w:firstLine="420" w:firstLineChars="200"/>
        <w:jc w:val="center"/>
        <w:rPr>
          <w:rFonts w:hint="eastAsia" w:ascii="SimSun" w:eastAsia="SimSun"/>
          <w:sz w:val="21"/>
          <w:lang w:val="en-US" w:eastAsia="zh-CN"/>
        </w:rPr>
      </w:pPr>
      <w:r>
        <w:rPr>
          <w:rFonts w:hint="eastAsia" w:ascii="SimSun"/>
          <w:sz w:val="21"/>
          <w:lang w:val="en-US" w:eastAsia="zh-CN"/>
        </w:rPr>
        <w:t>表2 代表性金融创新理论的比较</w:t>
      </w:r>
      <w:r>
        <w:rPr>
          <w:rFonts w:ascii="SimSun" w:eastAsia="SimSun"/>
          <w:sz w:val="21"/>
        </w:rPr>
        <w:drawing>
          <wp:inline distT="0" distB="0" distL="114300" distR="114300">
            <wp:extent cx="3286760" cy="2179955"/>
            <wp:effectExtent l="0" t="0" r="508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t="13722" r="881"/>
                    <a:stretch>
                      <a:fillRect/>
                    </a:stretch>
                  </pic:blipFill>
                  <pic:spPr>
                    <a:xfrm>
                      <a:off x="0" y="0"/>
                      <a:ext cx="3286760" cy="2179955"/>
                    </a:xfrm>
                    <a:prstGeom prst="rect">
                      <a:avLst/>
                    </a:prstGeom>
                    <a:noFill/>
                    <a:ln>
                      <a:noFill/>
                    </a:ln>
                  </pic:spPr>
                </pic:pic>
              </a:graphicData>
            </a:graphic>
          </wp:inline>
        </w:drawing>
      </w:r>
    </w:p>
    <w:p>
      <w:pPr>
        <w:bidi w:val="0"/>
        <w:snapToGrid/>
        <w:spacing w:before="156" w:beforeLines="50" w:beforeAutospacing="0" w:after="156" w:afterLines="50" w:afterAutospacing="0" w:line="240" w:lineRule="auto"/>
        <w:ind w:left="0" w:leftChars="0" w:firstLine="420" w:firstLineChars="200"/>
        <w:rPr>
          <w:rFonts w:hint="default" w:ascii="SimSun" w:eastAsia="SimSun"/>
          <w:sz w:val="21"/>
          <w:lang w:val="en-US" w:eastAsia="zh-CN"/>
        </w:rPr>
      </w:pPr>
      <w:r>
        <w:rPr>
          <w:rFonts w:hint="eastAsia" w:ascii="SimSun" w:eastAsia="SimSun"/>
          <w:sz w:val="21"/>
          <w:lang w:val="en-US" w:eastAsia="zh-CN"/>
        </w:rPr>
        <w:t>既有认为经济制度的管制益于创新也有规避政府管制而产生创新行为的理论，这可以看出政府的管制是常有的，要看金融科技企业如何处理实现创新。</w:t>
      </w:r>
    </w:p>
    <w:p>
      <w:pPr>
        <w:snapToGrid/>
        <w:spacing w:before="156" w:beforeLines="50" w:beforeAutospacing="0" w:after="156" w:afterLines="50" w:afterAutospacing="0" w:line="240" w:lineRule="auto"/>
        <w:ind w:left="0" w:leftChars="0" w:firstLine="420" w:firstLineChars="200"/>
        <w:rPr>
          <w:rFonts w:hint="default" w:ascii="SimSun" w:eastAsia="SimSun"/>
          <w:sz w:val="21"/>
          <w:lang w:val="en-US" w:eastAsia="zh-CN"/>
        </w:rPr>
      </w:pPr>
      <w:r>
        <w:rPr>
          <w:rFonts w:hint="default" w:ascii="SimSun" w:eastAsia="SimSun"/>
          <w:sz w:val="21"/>
          <w:lang w:val="en-US" w:eastAsia="zh-CN"/>
        </w:rPr>
        <w:t>我国金融科技企业发展趋势</w:t>
      </w:r>
      <w:r>
        <w:rPr>
          <w:rFonts w:hint="eastAsia" w:ascii="SimSun"/>
          <w:sz w:val="21"/>
          <w:lang w:val="en-US" w:eastAsia="zh-CN"/>
        </w:rPr>
        <w:t>：</w:t>
      </w:r>
    </w:p>
    <w:p>
      <w:pPr>
        <w:numPr>
          <w:ilvl w:val="0"/>
          <w:numId w:val="2"/>
        </w:numPr>
        <w:snapToGrid/>
        <w:spacing w:before="156" w:beforeLines="50" w:beforeAutospacing="0" w:after="156" w:afterLines="50" w:afterAutospacing="0" w:line="240" w:lineRule="auto"/>
        <w:ind w:left="0" w:leftChars="0" w:firstLine="420" w:firstLineChars="200"/>
        <w:rPr>
          <w:rFonts w:hint="default" w:ascii="SimSun" w:eastAsia="SimSun"/>
          <w:sz w:val="21"/>
          <w:lang w:val="en-US" w:eastAsia="zh-CN"/>
        </w:rPr>
      </w:pPr>
      <w:r>
        <w:rPr>
          <w:rFonts w:hint="default" w:ascii="SimSun" w:eastAsia="SimSun"/>
          <w:sz w:val="21"/>
          <w:lang w:val="en-US" w:eastAsia="zh-CN"/>
        </w:rPr>
        <w:t>加速向外部机构科技赋能定位转型</w:t>
      </w:r>
      <w:r>
        <w:rPr>
          <w:rFonts w:hint="eastAsia" w:ascii="SimSun" w:eastAsia="SimSun"/>
          <w:sz w:val="21"/>
          <w:lang w:val="en-US" w:eastAsia="zh-CN"/>
        </w:rPr>
        <w:t>目前，</w:t>
      </w:r>
      <w:r>
        <w:rPr>
          <w:rFonts w:hint="default" w:ascii="SimSun" w:eastAsia="SimSun"/>
          <w:sz w:val="21"/>
          <w:lang w:val="en-US" w:eastAsia="zh-CN"/>
        </w:rPr>
        <w:t>我国金融科技企业多强调自身的科技属性，强化底层技术的研发，并对外提供技术服务。究其原因，一是金融行业进入强监管时期，对金融业务提供方的资质、牌照、经营范围要求极为严格，金融科技企业从事金融服务的范围受到挤压，服务难度增加。二是科技赋能需求旺盛。在数字经济时代</w:t>
      </w:r>
      <w:r>
        <w:rPr>
          <w:rFonts w:hint="eastAsia" w:ascii="SimSun" w:eastAsia="SimSun"/>
          <w:sz w:val="21"/>
          <w:lang w:val="en-US" w:eastAsia="zh-CN"/>
        </w:rPr>
        <w:t>，</w:t>
      </w:r>
      <w:r>
        <w:rPr>
          <w:rFonts w:hint="default" w:ascii="SimSun" w:eastAsia="SimSun"/>
          <w:sz w:val="21"/>
          <w:lang w:val="en-US" w:eastAsia="zh-CN"/>
        </w:rPr>
        <w:t>无论是中小型金融机构，还是中小型企业，对于数字化、线上化、智能化转型的需求都较强，而其自身科技能力不足以支撑企业完成数字化转型。受新冠肺炎疫情影响，各行业均加速线上化转型，迫切需要解决数据资源孤岛问题，开放共享数据资源，以数据驱动决策，加强数字化办公，科技基础设施建设和科技服务需求激增。</w:t>
      </w:r>
    </w:p>
    <w:p>
      <w:pPr>
        <w:numPr>
          <w:ilvl w:val="0"/>
          <w:numId w:val="2"/>
        </w:numPr>
        <w:snapToGrid/>
        <w:spacing w:before="156" w:beforeLines="50" w:beforeAutospacing="0" w:after="156" w:afterLines="50" w:afterAutospacing="0" w:line="240" w:lineRule="auto"/>
        <w:ind w:left="0" w:leftChars="0" w:firstLine="420" w:firstLineChars="200"/>
        <w:rPr>
          <w:rFonts w:hint="eastAsia" w:ascii="SimSun" w:eastAsia="SimSun"/>
          <w:sz w:val="21"/>
          <w:lang w:val="en-US" w:eastAsia="zh-CN"/>
        </w:rPr>
      </w:pPr>
      <w:r>
        <w:rPr>
          <w:rFonts w:hint="default" w:ascii="SimSun" w:eastAsia="SimSun"/>
          <w:sz w:val="21"/>
          <w:lang w:val="en-US" w:eastAsia="zh-CN"/>
        </w:rPr>
        <w:t>聚焦关键技术创新研发及融合应用《金融科技（</w:t>
      </w:r>
      <w:r>
        <w:rPr>
          <w:rFonts w:hint="eastAsia" w:ascii="SimSun" w:eastAsia="SimSun"/>
          <w:sz w:val="21"/>
          <w:lang w:val="en-US" w:eastAsia="zh-CN"/>
        </w:rPr>
        <w:t>FinTech</w:t>
      </w:r>
      <w:r>
        <w:rPr>
          <w:rFonts w:hint="default" w:ascii="SimSun" w:eastAsia="SimSun"/>
          <w:sz w:val="21"/>
          <w:lang w:val="en-US" w:eastAsia="zh-CN"/>
        </w:rPr>
        <w:t>）发展规划（2019-2021）》中明确提出了将“夯实金融科技基础支撑”作为关键任务，并对技术基础研究的协同、攻关、成果转化提出了要求。以5G技术为代表的科技革新和产业升级正席卷着金融行业。我国以5G网络等新型基础设施为代表的新基建建设提速，将推动有关技术的攻关。金融科技企业未来将加大重点技术领域的研发应用力度，同时也为科技赋能定位增加筹码。人工智能正从感知智能向认知型智能演进。大数据将与AI结合，合规开发数据价值，打通数据孤岛，提高数据可信度。云计算方面，技术概念和边界将更加深入扩展。广义云将远远超过IT基础设施范畴，渐渐演变成所有IT技术创新的中心。区块链除在金融领域直接应用外，将加强联盟链及非金融领域的应用。未来，金融科技企业将积极探索5G相关应用，获得来自社会、行业、市场、客户等更多维度的数据，金融数据生态向更海量化、更多样化、更多维度、更实时、更广覆盖的趋势发展。</w:t>
      </w:r>
    </w:p>
    <w:p>
      <w:pPr>
        <w:numPr>
          <w:ilvl w:val="0"/>
          <w:numId w:val="2"/>
        </w:numPr>
        <w:snapToGrid/>
        <w:spacing w:before="156" w:beforeLines="50" w:beforeAutospacing="0" w:after="156" w:afterLines="50" w:afterAutospacing="0" w:line="240" w:lineRule="auto"/>
        <w:ind w:left="0" w:leftChars="0" w:firstLine="420" w:firstLineChars="200"/>
        <w:rPr>
          <w:rFonts w:hint="eastAsia" w:ascii="SimSun" w:eastAsia="SimSun"/>
          <w:sz w:val="21"/>
          <w:lang w:val="en-US" w:eastAsia="zh-CN"/>
        </w:rPr>
      </w:pPr>
      <w:r>
        <w:rPr>
          <w:rFonts w:hint="default" w:ascii="SimSun" w:eastAsia="SimSun"/>
          <w:sz w:val="21"/>
          <w:lang w:val="en-US" w:eastAsia="zh-CN"/>
        </w:rPr>
        <w:t>加速向产业互联网金融领域迈进截至2019年6月，中国网民规模为8.54亿人，互联网普及率达61.2%，网民渗透率极高。但消费互联网领域流量红利消退，用户增速放缓，金融科技企业服务C端成本急剧上升，营收增幅被逐渐压缩，金融科技企业迫切需要新增长点。同时，我国产业互联网的规模非常广阔。目前我国有60余个万亿级产业集群，若数字化转型能拓展10%的产业价值空间，每年可多创造超过2000亿元的价值。基于此，金融科技企业开始向产业互联网金融领域转型，通过科技手段打通产业内的各个参与者，使产业内的各要素数字化，并运用区块链等技术保障产业内数据、交易的可信性，提升产业内各节点、各参与方的数据价值，将其转换为数字化的金融元素，有针对性地为其提供金融服务。交通、物流行业参与主体较多，交通、物流领域将成为金融科技企业在产业互联网金融领域的有效切入点。除各类货运、物流企业外，产业链上还聚集了众多司机、快递员等个人参与者，是金融科技企业迈向产业互联网金融最容易落地的领域。金融科技企业通过大数据、云计算、车联网等技术，将各维度数据加以挖掘、计算、分析，助力产业数字化，如蚂蚁金服已开始布局物流行业。</w:t>
      </w:r>
    </w:p>
    <w:p>
      <w:pPr>
        <w:numPr>
          <w:ilvl w:val="0"/>
          <w:numId w:val="0"/>
        </w:numPr>
        <w:snapToGrid/>
        <w:spacing w:before="156" w:beforeLines="50" w:beforeAutospacing="0" w:after="156" w:afterLines="50" w:afterAutospacing="0" w:line="240" w:lineRule="auto"/>
        <w:ind w:leftChars="200"/>
        <w:jc w:val="center"/>
      </w:pPr>
      <w:r>
        <w:rPr>
          <w:rFonts w:hint="eastAsia" w:ascii="SimSun" w:eastAsia="SimSun"/>
          <w:sz w:val="21"/>
          <w:lang w:val="en-US" w:eastAsia="zh-CN"/>
        </w:rPr>
        <w:t>表</w:t>
      </w:r>
      <w:r>
        <w:rPr>
          <w:rFonts w:hint="eastAsia" w:ascii="SimSun"/>
          <w:sz w:val="21"/>
          <w:lang w:val="en-US" w:eastAsia="zh-CN"/>
        </w:rPr>
        <w:t>3</w:t>
      </w:r>
      <w:r>
        <w:rPr>
          <w:rFonts w:hint="eastAsia" w:ascii="SimSun" w:eastAsia="SimSun"/>
          <w:sz w:val="21"/>
          <w:lang w:val="en-US" w:eastAsia="zh-CN"/>
        </w:rPr>
        <w:t>头部金融科技企业积极向海外布局</w:t>
      </w:r>
      <w:r>
        <w:drawing>
          <wp:inline distT="0" distB="0" distL="114300" distR="114300">
            <wp:extent cx="3225800" cy="3989070"/>
            <wp:effectExtent l="0" t="0" r="508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rcRect t="5335" r="1090"/>
                    <a:stretch>
                      <a:fillRect/>
                    </a:stretch>
                  </pic:blipFill>
                  <pic:spPr>
                    <a:xfrm>
                      <a:off x="0" y="0"/>
                      <a:ext cx="3225800" cy="3989070"/>
                    </a:xfrm>
                    <a:prstGeom prst="rect">
                      <a:avLst/>
                    </a:prstGeom>
                    <a:noFill/>
                    <a:ln>
                      <a:noFill/>
                    </a:ln>
                  </pic:spPr>
                </pic:pic>
              </a:graphicData>
            </a:graphic>
          </wp:inline>
        </w:drawing>
      </w:r>
    </w:p>
    <w:p>
      <w:pPr>
        <w:numPr>
          <w:ilvl w:val="0"/>
          <w:numId w:val="0"/>
        </w:numPr>
        <w:snapToGrid/>
        <w:spacing w:before="156" w:beforeLines="50" w:beforeAutospacing="0" w:after="156" w:afterLines="50" w:afterAutospacing="0" w:line="240" w:lineRule="auto"/>
        <w:ind w:leftChars="200"/>
        <w:jc w:val="center"/>
        <w:rPr>
          <w:rFonts w:hint="eastAsia"/>
          <w:lang w:val="en-US" w:eastAsia="zh-CN"/>
        </w:rPr>
      </w:pPr>
    </w:p>
    <w:p>
      <w:pPr>
        <w:pStyle w:val="2"/>
        <w:bidi w:val="0"/>
        <w:snapToGrid/>
        <w:spacing w:before="156" w:beforeLines="50" w:beforeAutospacing="0" w:after="156" w:afterLines="50" w:afterAutospacing="0" w:line="720" w:lineRule="auto"/>
        <w:ind w:left="0" w:leftChars="0" w:right="0" w:rightChars="0" w:firstLine="0" w:firstLineChars="0"/>
        <w:jc w:val="both"/>
        <w:outlineLvl w:val="0"/>
        <w:rPr>
          <w:rFonts w:hint="eastAsia" w:ascii="SimSun" w:eastAsia="SimSun"/>
          <w:b/>
          <w:sz w:val="32"/>
          <w:lang w:val="en-US" w:eastAsia="zh-CN"/>
        </w:rPr>
      </w:pPr>
      <w:r>
        <w:rPr>
          <w:rFonts w:hint="eastAsia" w:ascii="SimSun" w:eastAsia="SimSun"/>
          <w:b/>
          <w:sz w:val="32"/>
          <w:lang w:val="en-US" w:eastAsia="zh-CN"/>
        </w:rPr>
        <w:t>五、金融科技企业的应对措施</w:t>
      </w:r>
    </w:p>
    <w:p>
      <w:pPr>
        <w:snapToGrid/>
        <w:spacing w:before="156" w:beforeLines="50" w:beforeAutospacing="0" w:after="156" w:afterLines="50" w:afterAutospacing="0" w:line="240" w:lineRule="auto"/>
        <w:ind w:left="0" w:leftChars="0" w:firstLine="420" w:firstLineChars="200"/>
        <w:rPr>
          <w:rFonts w:hint="eastAsia" w:ascii="SimSun" w:eastAsia="SimSun"/>
          <w:sz w:val="21"/>
          <w:lang w:val="en-US" w:eastAsia="zh-CN"/>
        </w:rPr>
      </w:pPr>
      <w:r>
        <w:rPr>
          <w:rFonts w:hint="eastAsia" w:ascii="SimSun" w:eastAsia="SimSun"/>
          <w:sz w:val="21"/>
          <w:lang w:val="en-US" w:eastAsia="zh-CN"/>
        </w:rPr>
        <w:t>创新与监管，这两者的协调需要政府与企业的妥协，所以我们看到面对金融科技企业的过分之举，政府并没有立刻进行处罚或严明法规，而是进行约谈，监管的目的是要形成社会利益与企业利益的统一，使金融科技整个行业得以长足发展。企业也可以改变其发展策略,适应政府的监管方针。</w:t>
      </w:r>
    </w:p>
    <w:p>
      <w:pPr>
        <w:snapToGrid/>
        <w:spacing w:before="120" w:beforeAutospacing="0" w:after="120" w:afterAutospacing="0" w:line="360" w:lineRule="auto"/>
        <w:ind w:left="0" w:leftChars="0" w:right="0" w:rightChars="0" w:firstLine="0" w:firstLineChars="0"/>
        <w:jc w:val="both"/>
        <w:outlineLvl w:val="1"/>
        <w:rPr>
          <w:rFonts w:hint="default" w:ascii="SimSun" w:eastAsia="SimSun"/>
          <w:b/>
          <w:sz w:val="28"/>
          <w:lang w:val="en-US" w:eastAsia="zh-CN"/>
        </w:rPr>
      </w:pPr>
      <w:r>
        <w:rPr>
          <w:rFonts w:hint="eastAsia" w:ascii="SimSun" w:eastAsia="SimSun"/>
          <w:b/>
          <w:sz w:val="28"/>
          <w:lang w:val="en-US" w:eastAsia="zh-CN"/>
        </w:rPr>
        <w:t>（一）实行企业内部监管</w:t>
      </w:r>
    </w:p>
    <w:p>
      <w:pPr>
        <w:snapToGrid/>
        <w:spacing w:before="156" w:beforeLines="50" w:beforeAutospacing="0" w:after="156" w:afterLines="50" w:afterAutospacing="0" w:line="240" w:lineRule="auto"/>
        <w:ind w:left="0" w:leftChars="0" w:firstLine="420" w:firstLineChars="200"/>
        <w:rPr>
          <w:rFonts w:hint="eastAsia" w:ascii="SimSun" w:eastAsia="SimSun"/>
          <w:sz w:val="21"/>
          <w:lang w:val="en-US" w:eastAsia="zh-CN"/>
        </w:rPr>
      </w:pPr>
      <w:r>
        <w:rPr>
          <w:rFonts w:hint="eastAsia" w:ascii="SimSun" w:eastAsia="SimSun"/>
          <w:sz w:val="21"/>
          <w:lang w:val="en-US" w:eastAsia="zh-CN"/>
        </w:rPr>
        <w:t>政府的监管一般在金融科技企业出现问题之后才实行，并且对于企业的发展方向并不了解，容易蕴藏风险，因此可以安插政府领导小组于企业内部进行监管，保证监管的及时性和准确性。</w:t>
      </w:r>
    </w:p>
    <w:p>
      <w:pPr>
        <w:snapToGrid/>
        <w:spacing w:before="120" w:beforeAutospacing="0" w:after="120" w:afterAutospacing="0" w:line="360" w:lineRule="auto"/>
        <w:ind w:left="0" w:leftChars="0" w:right="0" w:rightChars="0" w:firstLine="0" w:firstLineChars="0"/>
        <w:jc w:val="both"/>
        <w:outlineLvl w:val="1"/>
        <w:rPr>
          <w:rFonts w:hint="eastAsia" w:ascii="SimSun" w:eastAsia="SimSun"/>
          <w:b/>
          <w:sz w:val="28"/>
          <w:lang w:val="en-US" w:eastAsia="zh-CN"/>
        </w:rPr>
      </w:pPr>
      <w:r>
        <w:rPr>
          <w:rFonts w:hint="eastAsia" w:ascii="SimSun" w:eastAsia="SimSun"/>
          <w:b/>
          <w:sz w:val="28"/>
          <w:lang w:val="en-US" w:eastAsia="zh-CN"/>
        </w:rPr>
        <w:t>（二）学习构建“监管沙盒”</w:t>
      </w:r>
    </w:p>
    <w:p>
      <w:pPr>
        <w:bidi w:val="0"/>
        <w:snapToGrid/>
        <w:spacing w:before="156" w:beforeLines="50" w:beforeAutospacing="0" w:after="156" w:afterLines="50" w:afterAutospacing="0" w:line="240" w:lineRule="auto"/>
        <w:ind w:left="0" w:leftChars="0" w:firstLine="420" w:firstLineChars="200"/>
        <w:rPr>
          <w:rFonts w:hint="eastAsia" w:ascii="SimSun" w:eastAsia="SimSun"/>
          <w:sz w:val="21"/>
          <w:lang w:val="en-US" w:eastAsia="zh-CN"/>
        </w:rPr>
      </w:pPr>
      <w:r>
        <w:rPr>
          <w:rFonts w:hint="eastAsia" w:ascii="SimSun" w:eastAsia="SimSun"/>
          <w:sz w:val="21"/>
          <w:lang w:val="en-US" w:eastAsia="zh-CN"/>
        </w:rPr>
        <w:t>英国金融行为监管局(FCA)呼吁各利益相关方加大对监管科技开发和应用的投入，还率先提出“监管沙盒”的概念，在保护消费者和投资者权益、严防风险外泄的前提下，合理放宽监管规定，鼓励更多创新方案有效实施。美国、新加坡等多个国家也均将监管沙盒应用到互联网金融监管中。国外的监管科技的发展为我国互联网金融监管模式创新提供了有益借鉴</w:t>
      </w:r>
      <w:r>
        <w:rPr>
          <w:rFonts w:hint="eastAsia" w:ascii="SimSun"/>
          <w:sz w:val="21"/>
          <w:vertAlign w:val="superscript"/>
          <w:lang w:val="en-US" w:eastAsia="zh-CN"/>
        </w:rPr>
        <w:t>[4]</w:t>
      </w:r>
      <w:r>
        <w:rPr>
          <w:rFonts w:hint="eastAsia" w:ascii="SimSun" w:eastAsia="SimSun"/>
          <w:sz w:val="21"/>
          <w:lang w:val="en-US" w:eastAsia="zh-CN"/>
        </w:rPr>
        <w:t>。</w:t>
      </w:r>
    </w:p>
    <w:p>
      <w:pPr>
        <w:snapToGrid/>
        <w:spacing w:before="120" w:beforeAutospacing="0" w:after="120" w:afterAutospacing="0" w:line="360" w:lineRule="auto"/>
        <w:ind w:left="0" w:leftChars="0" w:right="0" w:rightChars="0" w:firstLine="0" w:firstLineChars="0"/>
        <w:jc w:val="both"/>
        <w:outlineLvl w:val="1"/>
        <w:rPr>
          <w:rFonts w:hint="default" w:ascii="SimSun" w:eastAsia="SimSun"/>
          <w:b/>
          <w:sz w:val="28"/>
          <w:lang w:val="en-US" w:eastAsia="zh-CN"/>
        </w:rPr>
      </w:pPr>
      <w:r>
        <w:rPr>
          <w:rFonts w:hint="eastAsia" w:ascii="SimSun" w:eastAsia="SimSun"/>
          <w:b/>
          <w:sz w:val="28"/>
          <w:lang w:val="en-US" w:eastAsia="zh-CN"/>
        </w:rPr>
        <w:t>（三）推行业务产品审批审核制度</w:t>
      </w:r>
    </w:p>
    <w:p>
      <w:pPr>
        <w:snapToGrid/>
        <w:spacing w:before="156" w:beforeLines="50" w:beforeAutospacing="0" w:after="156" w:afterLines="50" w:afterAutospacing="0" w:line="240" w:lineRule="auto"/>
        <w:ind w:left="0" w:leftChars="0" w:firstLine="420" w:firstLineChars="200"/>
        <w:rPr>
          <w:rFonts w:hint="eastAsia" w:ascii="SimSun" w:eastAsia="SimSun"/>
          <w:sz w:val="21"/>
          <w:lang w:val="en-US" w:eastAsia="zh-CN"/>
        </w:rPr>
      </w:pPr>
      <w:r>
        <w:rPr>
          <w:rFonts w:hint="eastAsia" w:ascii="SimSun" w:eastAsia="SimSun"/>
          <w:sz w:val="21"/>
          <w:lang w:val="en-US" w:eastAsia="zh-CN"/>
        </w:rPr>
        <w:t>金融科技的产品和业务的发布如果不当，则容易引起市场和社会的不安，因此可以在祸患发生前多设置一个环节，规定企业将创新的产品和业务上报政府，进行审核，评估其风险。</w:t>
      </w:r>
    </w:p>
    <w:p>
      <w:pPr>
        <w:keepNext w:val="0"/>
        <w:keepLines w:val="0"/>
        <w:widowControl/>
        <w:suppressLineNumbers w:val="0"/>
        <w:snapToGrid/>
        <w:spacing w:before="120" w:beforeAutospacing="0" w:after="120" w:afterAutospacing="0" w:line="360" w:lineRule="auto"/>
        <w:ind w:left="0" w:leftChars="0" w:right="0" w:rightChars="0" w:firstLine="0" w:firstLineChars="0"/>
        <w:jc w:val="both"/>
        <w:outlineLvl w:val="1"/>
        <w:rPr>
          <w:rFonts w:hint="eastAsia" w:ascii="SimSun" w:hAnsi="SimSun" w:eastAsia="SimSun" w:cs="SimSun"/>
          <w:b/>
          <w:color w:val="auto"/>
          <w:kern w:val="0"/>
          <w:sz w:val="28"/>
          <w:szCs w:val="21"/>
          <w:lang w:val="en-US" w:eastAsia="zh-CN" w:bidi="ar"/>
        </w:rPr>
      </w:pPr>
      <w:r>
        <w:rPr>
          <w:rFonts w:hint="eastAsia" w:ascii="SimSun" w:hAnsi="SimSun" w:eastAsia="SimSun" w:cs="SimSun"/>
          <w:b/>
          <w:color w:val="auto"/>
          <w:kern w:val="0"/>
          <w:sz w:val="28"/>
          <w:szCs w:val="21"/>
          <w:lang w:val="en-US" w:eastAsia="zh-CN" w:bidi="ar"/>
        </w:rPr>
        <w:t>（四）推进产业数字化</w:t>
      </w:r>
    </w:p>
    <w:p>
      <w:pPr>
        <w:keepNext w:val="0"/>
        <w:keepLines w:val="0"/>
        <w:widowControl/>
        <w:suppressLineNumbers w:val="0"/>
        <w:snapToGrid/>
        <w:spacing w:before="156" w:beforeLines="50" w:beforeAutospacing="0" w:after="156" w:afterLines="50" w:afterAutospacing="0" w:line="240" w:lineRule="auto"/>
        <w:ind w:left="0" w:leftChars="0" w:firstLine="420" w:firstLineChars="200"/>
        <w:jc w:val="left"/>
        <w:rPr>
          <w:rFonts w:hint="eastAsia" w:ascii="SimSun" w:hAnsi="SimSun" w:eastAsia="SimSun" w:cs="SimSun"/>
          <w:color w:val="auto"/>
          <w:kern w:val="0"/>
          <w:sz w:val="21"/>
          <w:szCs w:val="21"/>
          <w:lang w:val="en-US" w:eastAsia="zh-CN" w:bidi="ar"/>
        </w:rPr>
      </w:pPr>
      <w:r>
        <w:rPr>
          <w:rFonts w:hint="eastAsia" w:ascii="SimSun" w:hAnsi="SimSun" w:eastAsia="SimSun" w:cs="SimSun"/>
          <w:color w:val="auto"/>
          <w:kern w:val="0"/>
          <w:sz w:val="21"/>
          <w:szCs w:val="21"/>
          <w:lang w:val="en-US" w:eastAsia="zh-CN" w:bidi="ar"/>
        </w:rPr>
        <w:t>产业数字化的最大特征在于产业运营方式的网络化和智能化，基于信息技术，实现企业间的无缝合作和资源的有效整合。在产业数字化发展的背景下，金融机构的服务需要从原有的产品视角，转向“场景”视角及“生态”“平台”视角。而要构建产业生态，金融机构需要秉承开放的理念，通过产业场景内嵌的方式提供供应链金融产品和服务，并围绕产业链核心企业及其上下游中小企业发展需要，构建业务模式、交易结构，并通过向企业进行科技赋能，提高整个产业链的数字化水平，通过“融智”提升企业（特别是供应链上的中小企业）的财资管理效率和经营管理能力，等等。</w:t>
      </w:r>
    </w:p>
    <w:p>
      <w:pPr>
        <w:keepNext w:val="0"/>
        <w:keepLines w:val="0"/>
        <w:widowControl/>
        <w:numPr>
          <w:ilvl w:val="0"/>
          <w:numId w:val="3"/>
        </w:numPr>
        <w:suppressLineNumbers w:val="0"/>
        <w:snapToGrid/>
        <w:spacing w:before="120" w:beforeAutospacing="0" w:after="120" w:afterAutospacing="0" w:line="360" w:lineRule="auto"/>
        <w:ind w:left="0" w:leftChars="0" w:right="0" w:rightChars="0" w:firstLine="0" w:firstLineChars="0"/>
        <w:jc w:val="both"/>
        <w:outlineLvl w:val="1"/>
        <w:rPr>
          <w:rFonts w:hint="eastAsia" w:ascii="SimSun" w:hAnsi="SimSun" w:eastAsia="SimSun" w:cs="SimSun"/>
          <w:b/>
          <w:color w:val="auto"/>
          <w:kern w:val="0"/>
          <w:sz w:val="28"/>
          <w:szCs w:val="21"/>
          <w:lang w:val="en-US" w:eastAsia="zh-CN" w:bidi="ar"/>
        </w:rPr>
      </w:pPr>
      <w:r>
        <w:rPr>
          <w:rFonts w:hint="eastAsia" w:ascii="SimSun" w:hAnsi="SimSun" w:eastAsia="SimSun" w:cs="SimSun"/>
          <w:b/>
          <w:color w:val="auto"/>
          <w:kern w:val="0"/>
          <w:sz w:val="28"/>
          <w:szCs w:val="21"/>
          <w:lang w:val="en-US" w:eastAsia="zh-CN" w:bidi="ar"/>
        </w:rPr>
        <w:t>构建金融生态</w:t>
      </w:r>
    </w:p>
    <w:p>
      <w:pPr>
        <w:keepNext w:val="0"/>
        <w:keepLines w:val="0"/>
        <w:widowControl/>
        <w:numPr>
          <w:ilvl w:val="0"/>
          <w:numId w:val="0"/>
        </w:numPr>
        <w:suppressLineNumbers w:val="0"/>
        <w:snapToGrid/>
        <w:spacing w:before="156" w:beforeLines="50" w:beforeAutospacing="0" w:after="156" w:afterLines="50" w:afterAutospacing="0" w:line="240" w:lineRule="auto"/>
        <w:ind w:left="0" w:leftChars="0" w:firstLine="420" w:firstLineChars="200"/>
        <w:jc w:val="left"/>
        <w:rPr>
          <w:rFonts w:ascii="SimSun" w:eastAsia="SimSun"/>
          <w:color w:val="auto"/>
          <w:sz w:val="21"/>
        </w:rPr>
      </w:pPr>
      <w:r>
        <w:rPr>
          <w:rFonts w:hint="eastAsia" w:ascii="SimSun" w:hAnsi="SimSun" w:eastAsia="SimSun" w:cs="SimSun"/>
          <w:color w:val="auto"/>
          <w:kern w:val="0"/>
          <w:sz w:val="21"/>
          <w:szCs w:val="21"/>
          <w:lang w:val="en-US" w:eastAsia="zh-CN" w:bidi="ar"/>
        </w:rPr>
        <w:t>除传统融资服务外，金融机构还需要根据产业生态中各类企业的差异化特点，嵌入投行、资管、期货、保险等多元化金融产品和服务，以此提升产业生态的价值和竞争力，更好地履行服务和支持实体经济的职责。从长远看，要实现对产业数字化更好的支持，金融行业必须要加快自身数字化转型。十四五期间，金融机构需要立足新兴科技基础，构建数据驱动的能力来由内而外地进行变革，拓展营销渠道，提高客户体验，实现与经济数字化和产业数字化相适应的发展。</w:t>
      </w:r>
    </w:p>
    <w:p>
      <w:pPr>
        <w:keepNext w:val="0"/>
        <w:keepLines w:val="0"/>
        <w:widowControl/>
        <w:numPr>
          <w:ilvl w:val="0"/>
          <w:numId w:val="3"/>
        </w:numPr>
        <w:suppressLineNumbers w:val="0"/>
        <w:snapToGrid/>
        <w:spacing w:before="120" w:beforeAutospacing="0" w:after="120" w:afterAutospacing="0" w:line="360" w:lineRule="auto"/>
        <w:ind w:left="0" w:leftChars="0" w:right="0" w:rightChars="0" w:firstLine="0" w:firstLineChars="0"/>
        <w:jc w:val="both"/>
        <w:outlineLvl w:val="1"/>
        <w:rPr>
          <w:rFonts w:hint="eastAsia" w:ascii="SimSun" w:hAnsi="SimSun" w:eastAsia="SimSun" w:cs="SimSun"/>
          <w:b/>
          <w:color w:val="auto"/>
          <w:kern w:val="0"/>
          <w:sz w:val="28"/>
          <w:szCs w:val="21"/>
          <w:lang w:val="en-US" w:eastAsia="zh-CN" w:bidi="ar"/>
        </w:rPr>
      </w:pPr>
      <w:r>
        <w:rPr>
          <w:rFonts w:hint="eastAsia" w:ascii="SimSun" w:hAnsi="SimSun" w:eastAsia="SimSun" w:cs="SimSun"/>
          <w:b/>
          <w:color w:val="auto"/>
          <w:kern w:val="0"/>
          <w:sz w:val="28"/>
          <w:szCs w:val="21"/>
          <w:lang w:val="en-US" w:eastAsia="zh-CN" w:bidi="ar"/>
        </w:rPr>
        <w:t>减少融资约束</w:t>
      </w:r>
    </w:p>
    <w:p>
      <w:pPr>
        <w:keepNext w:val="0"/>
        <w:keepLines w:val="0"/>
        <w:widowControl/>
        <w:numPr>
          <w:ilvl w:val="0"/>
          <w:numId w:val="0"/>
        </w:numPr>
        <w:suppressLineNumbers w:val="0"/>
        <w:snapToGrid/>
        <w:spacing w:before="156" w:beforeLines="50" w:beforeAutospacing="0" w:after="156" w:afterLines="50" w:afterAutospacing="0" w:line="240" w:lineRule="auto"/>
        <w:ind w:left="0" w:leftChars="0" w:firstLine="420" w:firstLineChars="200"/>
        <w:jc w:val="left"/>
        <w:rPr>
          <w:rFonts w:hint="default" w:ascii="SimSun" w:hAnsi="SimSun" w:eastAsia="SimSun" w:cs="SimSun"/>
          <w:color w:val="auto"/>
          <w:kern w:val="0"/>
          <w:sz w:val="21"/>
          <w:szCs w:val="21"/>
          <w:lang w:val="en-US" w:eastAsia="zh-CN" w:bidi="ar"/>
        </w:rPr>
      </w:pPr>
      <w:r>
        <w:rPr>
          <w:rFonts w:hint="eastAsia" w:ascii="SimSun" w:hAnsi="SimSun" w:eastAsia="SimSun" w:cs="SimSun"/>
          <w:color w:val="auto"/>
          <w:kern w:val="0"/>
          <w:sz w:val="21"/>
          <w:szCs w:val="21"/>
          <w:lang w:val="en-US" w:eastAsia="zh-CN" w:bidi="ar"/>
        </w:rPr>
        <w:t>金融科技是对金融体系基础设施的重大创新</w:t>
      </w:r>
      <w:r>
        <w:rPr>
          <w:rFonts w:hint="default" w:ascii="SimSun" w:hAnsi="SimSun" w:eastAsia="SimSun" w:cs="SimSun"/>
          <w:color w:val="auto"/>
          <w:kern w:val="0"/>
          <w:sz w:val="21"/>
          <w:szCs w:val="21"/>
          <w:lang w:val="en-US" w:eastAsia="zh-CN" w:bidi="ar"/>
        </w:rPr>
        <w:t>（SchindlerJW，2017），通过大数据、云计算、区块链、机器学习等新数字技术的应用，金融科技不仅会显著提升传统金融机构的资源配置效率与风险管理能力（朱太辉，2016），而且数字技术与金融资源配置方式的突破将会创造了多层次的新金融业态，从而缓解企业的融资约束（房汉廷，2016）。金融科技发展可以通过减少银企之间的信息不对称，进而缓解企业的融资约束。银企之间固有的信息不对称的存在，导致银行更多地根据企业的资产抵押、财务报表等硬信息做出贷款决策（Berger，2002；Stein，2002）。对于抵押品数量不足且财务报表信息不健全的新兴企业，企业创新活动面临严重的融资困境（李建军，2013）。金融科技的大规模应用，为缓解新兴企业的融资约束带来契机，大数据人工智能、云计算和区块链等技术使商业银行能够收集更多维度的客户信息，集中化处理海量的数据，智能生成完整的客户画像，从而提高银行金融服务的覆盖率，降低信贷市场的准入门槛，减少银行贷款对硬信息的依赖，准确评估企业特征，甄别具有潜力的企业，缓解企业的融资约束（金洪飞，2020）。金融科技发展可以扩宽融资渠道，助推普惠金融发展，降低金融市场的融资门槛。金融资源的集中，融资渠道的单一，提高了企业的融资成本（沈红波，2010）。金融科技在中国的高速发展，蚂蚁金服等一系列新兴金融科技工具的出现，为中小企业融资创造出更多的融资平台（Huang，2018），打破了传统银行的垄断，使难以从传统银行获得贷款的企业更可能从金融科技影子银行获得所需资金。</w:t>
      </w:r>
    </w:p>
    <w:p>
      <w:pPr>
        <w:numPr>
          <w:ilvl w:val="0"/>
          <w:numId w:val="0"/>
        </w:numPr>
        <w:snapToGrid/>
        <w:spacing w:before="156" w:beforeLines="50" w:beforeAutospacing="0" w:after="156" w:afterLines="50" w:afterAutospacing="0" w:line="240" w:lineRule="auto"/>
        <w:ind w:left="0" w:leftChars="0" w:firstLine="0"/>
        <w:rPr>
          <w:rFonts w:hint="eastAsia" w:ascii="SimSun" w:eastAsia="SimSun"/>
          <w:sz w:val="21"/>
          <w:lang w:val="en-US" w:eastAsia="zh-CN"/>
        </w:rPr>
      </w:pPr>
    </w:p>
    <w:p>
      <w:pPr>
        <w:numPr>
          <w:ilvl w:val="0"/>
          <w:numId w:val="0"/>
        </w:numPr>
        <w:snapToGrid/>
        <w:spacing w:before="156" w:beforeLines="50" w:beforeAutospacing="0" w:after="156" w:afterLines="50" w:afterAutospacing="0" w:line="720" w:lineRule="auto"/>
        <w:ind w:left="0" w:leftChars="0" w:right="0" w:rightChars="0" w:firstLine="0" w:firstLineChars="0"/>
        <w:jc w:val="left"/>
        <w:rPr>
          <w:rFonts w:hint="eastAsia" w:ascii="SimSun" w:eastAsia="SimSun"/>
          <w:b/>
          <w:sz w:val="32"/>
          <w:lang w:val="en-US" w:eastAsia="zh-CN"/>
        </w:rPr>
      </w:pPr>
      <w:r>
        <w:rPr>
          <w:rFonts w:hint="eastAsia" w:ascii="SimSun" w:eastAsia="SimSun"/>
          <w:b/>
          <w:sz w:val="32"/>
          <w:lang w:val="en-US" w:eastAsia="zh-CN"/>
        </w:rPr>
        <w:t>参考文献：</w:t>
      </w:r>
    </w:p>
    <w:p>
      <w:pPr>
        <w:keepNext w:val="0"/>
        <w:keepLines w:val="0"/>
        <w:widowControl/>
        <w:numPr>
          <w:ilvl w:val="0"/>
          <w:numId w:val="0"/>
        </w:numPr>
        <w:suppressLineNumbers w:val="0"/>
        <w:snapToGrid/>
        <w:spacing w:before="156" w:beforeLines="50" w:beforeAutospacing="0" w:after="156" w:afterLines="50" w:afterAutospacing="0" w:line="240" w:lineRule="auto"/>
        <w:jc w:val="left"/>
        <w:rPr>
          <w:rFonts w:hint="eastAsia" w:ascii="SimSun" w:hAnsi="SimSun" w:eastAsia="SimSun" w:cs="SimSun"/>
          <w:color w:val="auto"/>
          <w:kern w:val="0"/>
          <w:sz w:val="21"/>
          <w:szCs w:val="21"/>
          <w:lang w:val="en-US" w:eastAsia="zh-CN" w:bidi="ar"/>
        </w:rPr>
      </w:pPr>
      <w:r>
        <w:rPr>
          <w:rFonts w:hint="eastAsia" w:ascii="SimSun" w:hAnsi="SimSun" w:cs="SimSun"/>
          <w:color w:val="auto"/>
          <w:kern w:val="0"/>
          <w:sz w:val="21"/>
          <w:szCs w:val="21"/>
          <w:lang w:val="en-US" w:eastAsia="zh-CN" w:bidi="ar"/>
        </w:rPr>
        <w:t>[1]</w:t>
      </w:r>
      <w:r>
        <w:rPr>
          <w:rFonts w:hint="eastAsia" w:ascii="SimSun" w:hAnsi="SimSun" w:eastAsia="SimSun" w:cs="SimSun"/>
          <w:color w:val="auto"/>
          <w:kern w:val="0"/>
          <w:sz w:val="21"/>
          <w:szCs w:val="21"/>
          <w:lang w:val="en-US" w:eastAsia="zh-CN" w:bidi="ar"/>
        </w:rPr>
        <w:t>徐继峰廖贝妮.我国金融科技企业发展状况及</w:t>
      </w:r>
      <w:r>
        <w:rPr>
          <w:rFonts w:hint="default" w:ascii="SimSun" w:hAnsi="SimSun" w:eastAsia="SimSun" w:cs="SimSun"/>
          <w:color w:val="auto"/>
          <w:kern w:val="0"/>
          <w:sz w:val="21"/>
          <w:szCs w:val="21"/>
          <w:lang w:val="en-US" w:eastAsia="zh-CN" w:bidi="ar"/>
        </w:rPr>
        <w:t>对商业银行金融科技战略的对策建议</w:t>
      </w:r>
      <w:r>
        <w:rPr>
          <w:rFonts w:hint="eastAsia" w:ascii="SimSun" w:hAnsi="SimSun" w:eastAsia="SimSun" w:cs="SimSun"/>
          <w:color w:val="auto"/>
          <w:kern w:val="0"/>
          <w:sz w:val="21"/>
          <w:szCs w:val="21"/>
          <w:lang w:val="en-US" w:eastAsia="zh-CN" w:bidi="ar"/>
        </w:rPr>
        <w:t>.</w:t>
      </w:r>
      <w:r>
        <w:rPr>
          <w:rFonts w:hint="default" w:ascii="SimSun" w:hAnsi="SimSun" w:eastAsia="SimSun" w:cs="SimSun"/>
          <w:color w:val="auto"/>
          <w:kern w:val="0"/>
          <w:sz w:val="21"/>
          <w:szCs w:val="21"/>
          <w:lang w:val="en-US" w:eastAsia="zh-CN" w:bidi="ar"/>
        </w:rPr>
        <w:t>（2021）02-0047-09</w:t>
      </w:r>
      <w:r>
        <w:rPr>
          <w:rFonts w:hint="eastAsia" w:ascii="SimSun" w:hAnsi="SimSun" w:eastAsia="SimSun" w:cs="SimSun"/>
          <w:color w:val="auto"/>
          <w:kern w:val="0"/>
          <w:sz w:val="21"/>
          <w:szCs w:val="21"/>
          <w:lang w:val="en-US" w:eastAsia="zh-CN" w:bidi="ar"/>
        </w:rPr>
        <w:t>.华北金融,2021(2):47-49</w:t>
      </w:r>
    </w:p>
    <w:p>
      <w:pPr>
        <w:keepNext w:val="0"/>
        <w:keepLines w:val="0"/>
        <w:widowControl/>
        <w:numPr>
          <w:ilvl w:val="0"/>
          <w:numId w:val="0"/>
        </w:numPr>
        <w:suppressLineNumbers w:val="0"/>
        <w:snapToGrid/>
        <w:spacing w:before="156" w:beforeLines="50" w:beforeAutospacing="0" w:after="156" w:afterLines="50" w:afterAutospacing="0" w:line="240" w:lineRule="auto"/>
        <w:jc w:val="left"/>
        <w:rPr>
          <w:rFonts w:hint="default" w:ascii="SimSun" w:hAnsi="SimSun" w:eastAsia="SimSun" w:cs="SimSun"/>
          <w:color w:val="auto"/>
          <w:kern w:val="0"/>
          <w:sz w:val="21"/>
          <w:szCs w:val="21"/>
          <w:lang w:val="en-US" w:eastAsia="zh-CN" w:bidi="ar"/>
        </w:rPr>
      </w:pPr>
      <w:r>
        <w:rPr>
          <w:rFonts w:hint="eastAsia" w:ascii="SimSun" w:hAnsi="SimSun" w:eastAsia="SimSun" w:cs="SimSun"/>
          <w:color w:val="auto"/>
          <w:kern w:val="0"/>
          <w:sz w:val="21"/>
          <w:szCs w:val="21"/>
          <w:lang w:val="en-US" w:eastAsia="zh-CN" w:bidi="ar"/>
        </w:rPr>
        <w:t>[2]苏洁.金融科技创新日趋规范.中国银行保险报</w:t>
      </w:r>
      <w:r>
        <w:rPr>
          <w:rFonts w:hint="eastAsia" w:ascii="SimSun" w:hAnsi="SimSun" w:cs="SimSun"/>
          <w:color w:val="auto"/>
          <w:kern w:val="0"/>
          <w:sz w:val="21"/>
          <w:szCs w:val="21"/>
          <w:lang w:val="en-US" w:eastAsia="zh-CN" w:bidi="ar"/>
        </w:rPr>
        <w:t>,</w:t>
      </w:r>
      <w:r>
        <w:rPr>
          <w:rFonts w:hint="default" w:ascii="SimSun" w:hAnsi="SimSun" w:eastAsia="SimSun" w:cs="SimSun"/>
          <w:color w:val="auto"/>
          <w:kern w:val="0"/>
          <w:sz w:val="21"/>
          <w:szCs w:val="21"/>
          <w:lang w:val="en-US" w:eastAsia="zh-CN" w:bidi="ar"/>
        </w:rPr>
        <w:t>2021</w:t>
      </w:r>
      <w:r>
        <w:rPr>
          <w:rFonts w:hint="eastAsia" w:ascii="SimSun" w:hAnsi="SimSun" w:cs="SimSun"/>
          <w:color w:val="auto"/>
          <w:kern w:val="0"/>
          <w:sz w:val="21"/>
          <w:szCs w:val="21"/>
          <w:lang w:val="en-US" w:eastAsia="zh-CN" w:bidi="ar"/>
        </w:rPr>
        <w:t>,</w:t>
      </w:r>
      <w:r>
        <w:rPr>
          <w:rFonts w:hint="default" w:ascii="SimSun" w:hAnsi="SimSun" w:eastAsia="SimSun" w:cs="SimSun"/>
          <w:color w:val="auto"/>
          <w:kern w:val="0"/>
          <w:sz w:val="21"/>
          <w:szCs w:val="21"/>
          <w:lang w:val="en-US" w:eastAsia="zh-CN" w:bidi="ar"/>
        </w:rPr>
        <w:t>3</w:t>
      </w:r>
      <w:r>
        <w:rPr>
          <w:rFonts w:hint="eastAsia" w:ascii="SimSun" w:hAnsi="SimSun" w:cs="SimSun"/>
          <w:color w:val="auto"/>
          <w:kern w:val="0"/>
          <w:sz w:val="21"/>
          <w:szCs w:val="21"/>
          <w:lang w:val="en-US" w:eastAsia="zh-CN" w:bidi="ar"/>
        </w:rPr>
        <w:t>,</w:t>
      </w:r>
      <w:r>
        <w:rPr>
          <w:rFonts w:hint="default" w:ascii="SimSun" w:hAnsi="SimSun" w:eastAsia="SimSun" w:cs="SimSun"/>
          <w:color w:val="auto"/>
          <w:kern w:val="0"/>
          <w:sz w:val="21"/>
          <w:szCs w:val="21"/>
          <w:lang w:val="en-US" w:eastAsia="zh-CN" w:bidi="ar"/>
        </w:rPr>
        <w:t>8</w:t>
      </w:r>
      <w:r>
        <w:rPr>
          <w:rFonts w:hint="eastAsia" w:ascii="SimSun" w:hAnsi="SimSun" w:cs="SimSun"/>
          <w:color w:val="auto"/>
          <w:kern w:val="0"/>
          <w:sz w:val="21"/>
          <w:szCs w:val="21"/>
          <w:lang w:val="en-US" w:eastAsia="zh-CN" w:bidi="ar"/>
        </w:rPr>
        <w:t>(</w:t>
      </w:r>
      <w:r>
        <w:rPr>
          <w:rFonts w:hint="default" w:ascii="SimSun" w:hAnsi="SimSun" w:eastAsia="SimSun" w:cs="SimSun"/>
          <w:color w:val="auto"/>
          <w:kern w:val="0"/>
          <w:sz w:val="21"/>
          <w:szCs w:val="21"/>
          <w:lang w:val="en-US" w:eastAsia="zh-CN" w:bidi="ar"/>
        </w:rPr>
        <w:t>007</w:t>
      </w:r>
      <w:r>
        <w:rPr>
          <w:rFonts w:hint="eastAsia" w:ascii="SimSun" w:hAnsi="SimSun" w:cs="SimSun"/>
          <w:color w:val="auto"/>
          <w:kern w:val="0"/>
          <w:sz w:val="21"/>
          <w:szCs w:val="21"/>
          <w:lang w:val="en-US" w:eastAsia="zh-CN" w:bidi="ar"/>
        </w:rPr>
        <w:t>):</w:t>
      </w:r>
      <w:r>
        <w:rPr>
          <w:rFonts w:hint="eastAsia" w:ascii="SimSun" w:hAnsi="SimSun" w:eastAsia="SimSun" w:cs="SimSun"/>
          <w:color w:val="auto"/>
          <w:kern w:val="0"/>
          <w:sz w:val="21"/>
          <w:szCs w:val="21"/>
          <w:lang w:val="en-US" w:eastAsia="zh-CN" w:bidi="ar"/>
        </w:rPr>
        <w:t>1-2</w:t>
      </w:r>
    </w:p>
    <w:p>
      <w:pPr>
        <w:keepNext w:val="0"/>
        <w:keepLines w:val="0"/>
        <w:widowControl/>
        <w:numPr>
          <w:ilvl w:val="0"/>
          <w:numId w:val="0"/>
        </w:numPr>
        <w:suppressLineNumbers w:val="0"/>
        <w:snapToGrid/>
        <w:spacing w:before="156" w:beforeLines="50" w:beforeAutospacing="0" w:after="156" w:afterLines="50" w:afterAutospacing="0" w:line="240" w:lineRule="auto"/>
        <w:jc w:val="left"/>
        <w:rPr>
          <w:rFonts w:hint="eastAsia" w:ascii="SimSun" w:hAnsi="SimSun" w:eastAsia="SimSun" w:cs="SimSun"/>
          <w:color w:val="auto"/>
          <w:kern w:val="0"/>
          <w:sz w:val="21"/>
          <w:szCs w:val="21"/>
          <w:lang w:val="en-US" w:eastAsia="zh-CN" w:bidi="ar"/>
        </w:rPr>
      </w:pPr>
      <w:r>
        <w:rPr>
          <w:rFonts w:hint="eastAsia" w:ascii="SimSun" w:hAnsi="SimSun" w:eastAsia="SimSun" w:cs="SimSun"/>
          <w:color w:val="auto"/>
          <w:kern w:val="0"/>
          <w:sz w:val="21"/>
          <w:szCs w:val="21"/>
          <w:lang w:val="en-US" w:eastAsia="zh-CN" w:bidi="ar"/>
        </w:rPr>
        <w:t>[3]</w:t>
      </w:r>
      <w:r>
        <w:rPr>
          <w:rFonts w:hint="default" w:ascii="SimSun" w:hAnsi="SimSun" w:eastAsia="SimSun" w:cs="SimSun"/>
          <w:color w:val="auto"/>
          <w:kern w:val="0"/>
          <w:sz w:val="21"/>
          <w:szCs w:val="21"/>
          <w:lang w:val="en-US" w:eastAsia="zh-CN" w:bidi="ar"/>
        </w:rPr>
        <w:t>卿光鹏</w:t>
      </w:r>
      <w:r>
        <w:rPr>
          <w:rFonts w:hint="eastAsia" w:ascii="SimSun" w:hAnsi="SimSun" w:eastAsia="SimSun" w:cs="SimSun"/>
          <w:color w:val="auto"/>
          <w:kern w:val="0"/>
          <w:sz w:val="21"/>
          <w:szCs w:val="21"/>
          <w:lang w:val="en-US" w:eastAsia="zh-CN" w:bidi="ar"/>
        </w:rPr>
        <w:t>.</w:t>
      </w:r>
      <w:r>
        <w:rPr>
          <w:rFonts w:hint="default" w:ascii="SimSun" w:hAnsi="SimSun" w:eastAsia="SimSun" w:cs="SimSun"/>
          <w:color w:val="auto"/>
          <w:kern w:val="0"/>
          <w:sz w:val="21"/>
          <w:szCs w:val="21"/>
          <w:lang w:val="en-US" w:eastAsia="zh-CN" w:bidi="ar"/>
        </w:rPr>
        <w:t>金融科技、融资约束与企业创新探索</w:t>
      </w:r>
      <w:r>
        <w:rPr>
          <w:rFonts w:hint="eastAsia" w:ascii="SimSun" w:hAnsi="SimSun" w:eastAsia="SimSun" w:cs="SimSun"/>
          <w:color w:val="auto"/>
          <w:kern w:val="0"/>
          <w:sz w:val="21"/>
          <w:szCs w:val="21"/>
          <w:lang w:val="en-US" w:eastAsia="zh-CN" w:bidi="ar"/>
        </w:rPr>
        <w:t>.</w:t>
      </w:r>
      <w:r>
        <w:rPr>
          <w:rFonts w:hint="default" w:ascii="SimSun" w:hAnsi="SimSun" w:eastAsia="SimSun" w:cs="SimSun"/>
          <w:color w:val="auto"/>
          <w:kern w:val="0"/>
          <w:sz w:val="21"/>
          <w:szCs w:val="21"/>
          <w:lang w:val="en-US" w:eastAsia="zh-CN" w:bidi="ar"/>
        </w:rPr>
        <w:t>ShanghaiBusiness</w:t>
      </w:r>
      <w:r>
        <w:rPr>
          <w:rFonts w:hint="eastAsia" w:ascii="SimSun" w:hAnsi="SimSun" w:eastAsia="SimSun" w:cs="SimSun"/>
          <w:color w:val="auto"/>
          <w:kern w:val="0"/>
          <w:sz w:val="21"/>
          <w:szCs w:val="21"/>
          <w:lang w:val="en-US" w:eastAsia="zh-CN" w:bidi="ar"/>
        </w:rPr>
        <w:t>,</w:t>
      </w:r>
      <w:r>
        <w:rPr>
          <w:rFonts w:hint="eastAsia" w:ascii="SimSun" w:hAnsi="SimSun" w:cs="SimSun"/>
          <w:color w:val="auto"/>
          <w:kern w:val="0"/>
          <w:sz w:val="21"/>
          <w:szCs w:val="21"/>
          <w:lang w:val="en-US" w:eastAsia="zh-CN" w:bidi="ar"/>
        </w:rPr>
        <w:t>2</w:t>
      </w:r>
      <w:r>
        <w:rPr>
          <w:rFonts w:hint="default" w:ascii="SimSun" w:hAnsi="SimSun" w:eastAsia="SimSun" w:cs="SimSun"/>
          <w:color w:val="auto"/>
          <w:kern w:val="0"/>
          <w:sz w:val="21"/>
          <w:szCs w:val="21"/>
          <w:lang w:val="en-US" w:eastAsia="zh-CN" w:bidi="ar"/>
        </w:rPr>
        <w:t>021</w:t>
      </w:r>
      <w:r>
        <w:rPr>
          <w:rFonts w:hint="eastAsia" w:ascii="SimSun" w:hAnsi="SimSun" w:cs="SimSun"/>
          <w:color w:val="auto"/>
          <w:kern w:val="0"/>
          <w:sz w:val="21"/>
          <w:szCs w:val="21"/>
          <w:lang w:val="en-US" w:eastAsia="zh-CN" w:bidi="ar"/>
        </w:rPr>
        <w:t>,2:</w:t>
      </w:r>
      <w:r>
        <w:rPr>
          <w:rFonts w:hint="eastAsia" w:ascii="SimSun" w:hAnsi="SimSun" w:eastAsia="SimSun" w:cs="SimSun"/>
          <w:color w:val="auto"/>
          <w:kern w:val="0"/>
          <w:sz w:val="21"/>
          <w:szCs w:val="21"/>
          <w:lang w:val="en-US" w:eastAsia="zh-CN" w:bidi="ar"/>
        </w:rPr>
        <w:t>45-49</w:t>
      </w:r>
    </w:p>
    <w:p>
      <w:pPr>
        <w:bidi w:val="0"/>
        <w:snapToGrid/>
        <w:spacing w:before="156" w:beforeLines="50" w:beforeAutospacing="0" w:after="156" w:afterLines="50" w:afterAutospacing="0" w:line="240" w:lineRule="auto"/>
        <w:rPr>
          <w:rFonts w:hint="default" w:ascii="SimSun" w:eastAsia="SimSun"/>
          <w:sz w:val="21"/>
          <w:lang w:val="en-US" w:eastAsia="zh-CN"/>
        </w:rPr>
      </w:pPr>
      <w:r>
        <w:rPr>
          <w:rFonts w:hint="eastAsia" w:ascii="SimSun" w:eastAsia="SimSun"/>
          <w:sz w:val="21"/>
          <w:lang w:val="en-US" w:eastAsia="zh-CN"/>
        </w:rPr>
        <w:t>[</w:t>
      </w:r>
      <w:r>
        <w:rPr>
          <w:rFonts w:hint="eastAsia" w:ascii="SimSun"/>
          <w:sz w:val="21"/>
          <w:lang w:val="en-US" w:eastAsia="zh-CN"/>
        </w:rPr>
        <w:t>4</w:t>
      </w:r>
      <w:r>
        <w:rPr>
          <w:rFonts w:hint="eastAsia" w:ascii="SimSun" w:eastAsia="SimSun"/>
          <w:sz w:val="21"/>
          <w:lang w:val="en-US" w:eastAsia="zh-CN"/>
        </w:rPr>
        <w:t>]王蕊,李宗航.金融科技助推我国互联网金融监管模式转型研究.西华大学学报(哲学社会科学版),2020</w:t>
      </w:r>
      <w:r>
        <w:rPr>
          <w:rFonts w:hint="eastAsia" w:ascii="SimSun"/>
          <w:sz w:val="21"/>
          <w:lang w:val="en-US" w:eastAsia="zh-CN"/>
        </w:rPr>
        <w:t>,</w:t>
      </w:r>
      <w:r>
        <w:rPr>
          <w:rFonts w:hint="eastAsia" w:ascii="SimSun" w:eastAsia="SimSun"/>
          <w:sz w:val="21"/>
          <w:lang w:val="en-US" w:eastAsia="zh-CN"/>
        </w:rPr>
        <w:t>5:76-77</w:t>
      </w:r>
    </w:p>
    <w:p>
      <w:pPr>
        <w:keepNext w:val="0"/>
        <w:keepLines w:val="0"/>
        <w:widowControl/>
        <w:numPr>
          <w:ilvl w:val="0"/>
          <w:numId w:val="0"/>
        </w:numPr>
        <w:suppressLineNumbers w:val="0"/>
        <w:snapToGrid/>
        <w:spacing w:before="156" w:beforeLines="50" w:beforeAutospacing="0" w:after="156" w:afterLines="50" w:afterAutospacing="0" w:line="240" w:lineRule="auto"/>
        <w:jc w:val="left"/>
        <w:rPr>
          <w:rFonts w:hint="default" w:ascii="SimSun" w:hAnsi="SimSun" w:eastAsia="SimSun" w:cs="SimSun"/>
          <w:color w:val="auto"/>
          <w:kern w:val="0"/>
          <w:sz w:val="21"/>
          <w:szCs w:val="21"/>
          <w:lang w:val="en-US" w:eastAsia="zh-CN" w:bidi="ar"/>
        </w:rPr>
      </w:pPr>
    </w:p>
    <w:p>
      <w:pPr>
        <w:keepNext w:val="0"/>
        <w:keepLines w:val="0"/>
        <w:widowControl/>
        <w:numPr>
          <w:ilvl w:val="0"/>
          <w:numId w:val="0"/>
        </w:numPr>
        <w:suppressLineNumbers w:val="0"/>
        <w:jc w:val="left"/>
        <w:rPr>
          <w:rFonts w:hint="default" w:ascii="DLF-3-8-1469005809" w:hAnsi="DLF-3-8-1469005809" w:eastAsia="DLF-3-8-1469005809" w:cs="DLF-3-8-1469005809"/>
          <w:color w:val="231F20"/>
          <w:kern w:val="0"/>
          <w:sz w:val="21"/>
          <w:szCs w:val="21"/>
          <w:lang w:val="en-US" w:eastAsia="zh-CN" w:bidi="ar"/>
        </w:rPr>
      </w:pPr>
    </w:p>
    <w:p>
      <w:pPr>
        <w:keepNext w:val="0"/>
        <w:keepLines w:val="0"/>
        <w:widowControl/>
        <w:numPr>
          <w:ilvl w:val="0"/>
          <w:numId w:val="0"/>
        </w:numPr>
        <w:suppressLineNumbers w:val="0"/>
        <w:snapToGrid/>
        <w:spacing w:before="156" w:beforeLines="50" w:beforeAutospacing="0" w:after="156" w:afterLines="50" w:afterAutospacing="0" w:line="240" w:lineRule="auto"/>
        <w:ind w:left="0" w:leftChars="0" w:firstLine="420" w:firstLineChars="200"/>
        <w:jc w:val="left"/>
        <w:rPr>
          <w:rFonts w:hint="default" w:ascii="SimSun" w:hAnsi="SimSun" w:eastAsia="SimSun" w:cs="SimSun"/>
          <w:color w:val="auto"/>
          <w:kern w:val="0"/>
          <w:sz w:val="21"/>
          <w:szCs w:val="21"/>
          <w:lang w:val="en-US" w:eastAsia="zh-CN" w:bidi="ar"/>
        </w:rPr>
      </w:pPr>
    </w:p>
    <w:p>
      <w:pPr>
        <w:numPr>
          <w:ilvl w:val="0"/>
          <w:numId w:val="0"/>
        </w:numPr>
        <w:snapToGrid/>
        <w:spacing w:before="156" w:beforeLines="50" w:beforeAutospacing="0" w:after="156" w:afterLines="50" w:afterAutospacing="0" w:line="240" w:lineRule="auto"/>
        <w:ind w:left="424" w:leftChars="0" w:right="0" w:rightChars="0" w:hanging="424" w:firstLineChars="0"/>
        <w:jc w:val="both"/>
        <w:rPr>
          <w:rFonts w:hint="default" w:ascii="KaiTi" w:eastAsia="KaiTi"/>
          <w:sz w:val="18"/>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KaiTi"/>
    <w:panose1 w:val="02010609030101010101"/>
    <w:charset w:val="86"/>
    <w:family w:val="modern"/>
    <w:pitch w:val="default"/>
    <w:sig w:usb0="00000000" w:usb1="00000000" w:usb2="00000010" w:usb3="00000000" w:csb0="00040000" w:csb1="00000000"/>
  </w:font>
  <w:font w:name="STZhongsong">
    <w:panose1 w:val="02010600040101010101"/>
    <w:charset w:val="86"/>
    <w:family w:val="auto"/>
    <w:pitch w:val="default"/>
    <w:sig w:usb0="00000287" w:usb1="080F0000" w:usb2="00000000" w:usb3="00000000" w:csb0="0004009F" w:csb1="DFD70000"/>
  </w:font>
  <w:font w:name="KaiTi">
    <w:panose1 w:val="02010609060101010101"/>
    <w:charset w:val="86"/>
    <w:family w:val="auto"/>
    <w:pitch w:val="default"/>
    <w:sig w:usb0="800002BF" w:usb1="38CF7CFA" w:usb2="00000016" w:usb3="00000000" w:csb0="00040001" w:csb1="00000000"/>
  </w:font>
  <w:font w:name="DLF-32769-4-1202867490">
    <w:altName w:val="Segoe Print"/>
    <w:panose1 w:val="00000000000000000000"/>
    <w:charset w:val="00"/>
    <w:family w:val="auto"/>
    <w:pitch w:val="default"/>
    <w:sig w:usb0="00000000" w:usb1="00000000" w:usb2="00000000" w:usb3="00000000" w:csb0="00000000" w:csb1="00000000"/>
  </w:font>
  <w:font w:name="DLF-32769-3-145368575">
    <w:altName w:val="Segoe Print"/>
    <w:panose1 w:val="00000000000000000000"/>
    <w:charset w:val="00"/>
    <w:family w:val="auto"/>
    <w:pitch w:val="default"/>
    <w:sig w:usb0="00000000" w:usb1="00000000" w:usb2="00000000" w:usb3="00000000" w:csb0="00000000" w:csb1="00000000"/>
  </w:font>
  <w:font w:name="DLF-32769-3-1336036758">
    <w:altName w:val="Segoe Print"/>
    <w:panose1 w:val="00000000000000000000"/>
    <w:charset w:val="00"/>
    <w:family w:val="auto"/>
    <w:pitch w:val="default"/>
    <w:sig w:usb0="00000000" w:usb1="00000000" w:usb2="00000000" w:usb3="00000000" w:csb0="00000000" w:csb1="00000000"/>
  </w:font>
  <w:font w:name="DLF-3-8-146900580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7A240"/>
    <w:multiLevelType w:val="singleLevel"/>
    <w:tmpl w:val="D047A240"/>
    <w:lvl w:ilvl="0" w:tentative="0">
      <w:start w:val="1"/>
      <w:numFmt w:val="chineseCounting"/>
      <w:suff w:val="nothing"/>
      <w:lvlText w:val="（%1）"/>
      <w:lvlJc w:val="left"/>
      <w:rPr>
        <w:rFonts w:hint="eastAsia"/>
      </w:rPr>
    </w:lvl>
  </w:abstractNum>
  <w:abstractNum w:abstractNumId="1">
    <w:nsid w:val="EFA2159B"/>
    <w:multiLevelType w:val="singleLevel"/>
    <w:tmpl w:val="EFA2159B"/>
    <w:lvl w:ilvl="0" w:tentative="0">
      <w:start w:val="5"/>
      <w:numFmt w:val="chineseCounting"/>
      <w:suff w:val="nothing"/>
      <w:lvlText w:val="（%1）"/>
      <w:lvlJc w:val="left"/>
      <w:rPr>
        <w:rFonts w:hint="eastAsia"/>
      </w:rPr>
    </w:lvl>
  </w:abstractNum>
  <w:abstractNum w:abstractNumId="2">
    <w:nsid w:val="399CB3B0"/>
    <w:multiLevelType w:val="singleLevel"/>
    <w:tmpl w:val="399CB3B0"/>
    <w:lvl w:ilvl="0" w:tentative="0">
      <w:start w:val="5"/>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0643C"/>
    <w:rsid w:val="12B375FA"/>
    <w:rsid w:val="20D234D2"/>
    <w:rsid w:val="22CE0602"/>
    <w:rsid w:val="30B21225"/>
    <w:rsid w:val="3CFE22CD"/>
    <w:rsid w:val="3D2F2764"/>
    <w:rsid w:val="3DFE388E"/>
    <w:rsid w:val="458214FE"/>
    <w:rsid w:val="4FF503C8"/>
    <w:rsid w:val="5363108B"/>
    <w:rsid w:val="53E041A9"/>
    <w:rsid w:val="5ABD72B7"/>
    <w:rsid w:val="5C7F0AFB"/>
    <w:rsid w:val="5D740229"/>
    <w:rsid w:val="5E20093F"/>
    <w:rsid w:val="5EEE5A45"/>
    <w:rsid w:val="712F6314"/>
    <w:rsid w:val="71CF5055"/>
    <w:rsid w:val="75122132"/>
    <w:rsid w:val="76F3096F"/>
    <w:rsid w:val="7DF27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SimSu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character" w:default="1" w:styleId="5">
    <w:name w:val="Default Paragraph Font"/>
    <w:qFormat/>
    <w:uiPriority w:val="0"/>
  </w:style>
  <w:style w:type="table" w:default="1" w:styleId="4">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2848</Words>
  <Characters>2903</Characters>
  <Paragraphs>49</Paragraphs>
  <TotalTime>6</TotalTime>
  <ScaleCrop>false</ScaleCrop>
  <LinksUpToDate>false</LinksUpToDate>
  <CharactersWithSpaces>2915</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2021-05-11T12:03:00Z</dcterms:created>
  <dc:creator>fafa</dc:creator>
  <cp:lastModifiedBy>fafa</cp:lastModifiedBy>
  <dcterms:modified xsi:type="dcterms:W3CDTF">2023-08-17T12:18:19Z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6E747DBEA8CA4B6CA16A0C6AB372475F_13</vt:lpwstr>
  </property>
</Properties>
</file>