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cs="宋体"/>
          <w:b/>
          <w:sz w:val="36"/>
          <w:szCs w:val="36"/>
        </w:rPr>
      </w:pPr>
    </w:p>
    <w:p>
      <w:pPr>
        <w:jc w:val="center"/>
        <w:rPr>
          <w:rFonts w:hint="eastAsia" w:ascii="宋体" w:hAnsi="宋体" w:cs="宋体"/>
          <w:b/>
          <w:sz w:val="32"/>
          <w:szCs w:val="32"/>
        </w:rPr>
      </w:pPr>
      <w:r>
        <w:rPr>
          <w:rFonts w:hint="eastAsia" w:ascii="宋体" w:hAnsi="宋体" w:cs="宋体"/>
          <w:b/>
          <w:sz w:val="36"/>
          <w:szCs w:val="36"/>
          <w:lang w:val="en-US" w:eastAsia="zh-CN"/>
        </w:rPr>
        <w:t>深圳</w:t>
      </w:r>
      <w:r>
        <w:rPr>
          <w:rFonts w:hint="eastAsia" w:ascii="宋体" w:hAnsi="宋体" w:cs="宋体"/>
          <w:b/>
          <w:sz w:val="36"/>
          <w:szCs w:val="36"/>
        </w:rPr>
        <w:t>大学</w:t>
      </w:r>
      <w:r>
        <w:rPr>
          <w:rFonts w:hint="eastAsia" w:ascii="宋体" w:hAnsi="宋体" w:cs="宋体"/>
          <w:b/>
          <w:sz w:val="36"/>
          <w:szCs w:val="36"/>
          <w:lang w:val="en-US" w:eastAsia="zh-CN"/>
        </w:rPr>
        <w:t>供应链金融聚徒项目结课</w:t>
      </w:r>
      <w:r>
        <w:rPr>
          <w:rFonts w:hint="eastAsia" w:ascii="宋体" w:hAnsi="宋体" w:cs="宋体"/>
          <w:b/>
          <w:sz w:val="36"/>
          <w:szCs w:val="36"/>
        </w:rPr>
        <w:t>论文</w:t>
      </w:r>
    </w:p>
    <w:p>
      <w:pPr>
        <w:jc w:val="center"/>
        <w:rPr>
          <w:rFonts w:hint="eastAsia" w:ascii="华文中宋" w:hAnsi="华文中宋" w:eastAsia="华文中宋"/>
          <w:b/>
          <w:w w:val="90"/>
          <w:sz w:val="144"/>
          <w:szCs w:val="144"/>
        </w:rPr>
      </w:pPr>
      <w:r>
        <w:rPr>
          <w:rFonts w:hint="eastAsia" w:ascii="华文中宋" w:hAnsi="华文中宋" w:eastAsia="华文中宋"/>
          <w:b/>
          <w:w w:val="90"/>
          <w:sz w:val="144"/>
          <w:szCs w:val="144"/>
          <w:lang w:val="en-US" w:eastAsia="zh-CN"/>
        </w:rPr>
        <w:t>项 目</w:t>
      </w:r>
      <w:r>
        <w:rPr>
          <w:rFonts w:hint="eastAsia" w:ascii="华文中宋" w:hAnsi="华文中宋" w:eastAsia="华文中宋"/>
          <w:b/>
          <w:w w:val="90"/>
          <w:sz w:val="144"/>
          <w:szCs w:val="144"/>
        </w:rPr>
        <w:t xml:space="preserve"> 论 文</w:t>
      </w:r>
    </w:p>
    <w:p>
      <w:pPr>
        <w:spacing w:line="360" w:lineRule="exact"/>
        <w:ind w:firstLine="1257" w:firstLineChars="393"/>
        <w:rPr>
          <w:rFonts w:hint="eastAsia"/>
          <w:sz w:val="32"/>
        </w:rPr>
      </w:pPr>
    </w:p>
    <w:p>
      <w:pPr>
        <w:spacing w:line="360" w:lineRule="exact"/>
        <w:ind w:firstLine="1257" w:firstLineChars="393"/>
        <w:rPr>
          <w:rFonts w:hint="eastAsia"/>
          <w:sz w:val="32"/>
        </w:rPr>
      </w:pPr>
    </w:p>
    <w:p>
      <w:pPr>
        <w:spacing w:line="360" w:lineRule="exact"/>
        <w:ind w:firstLine="540" w:firstLineChars="150"/>
        <w:rPr>
          <w:rFonts w:hint="eastAsia" w:ascii="黑体" w:hAnsi="黑体" w:eastAsia="黑体" w:cs="黑体"/>
          <w:sz w:val="36"/>
          <w:szCs w:val="36"/>
        </w:rPr>
      </w:pPr>
    </w:p>
    <w:p>
      <w:pPr>
        <w:spacing w:line="360" w:lineRule="exact"/>
        <w:ind w:firstLine="540" w:firstLineChars="150"/>
        <w:rPr>
          <w:rFonts w:hint="eastAsia" w:ascii="黑体" w:hAnsi="黑体" w:eastAsia="黑体" w:cs="黑体"/>
          <w:sz w:val="36"/>
          <w:szCs w:val="36"/>
        </w:rPr>
      </w:pPr>
    </w:p>
    <w:p>
      <w:pPr>
        <w:spacing w:line="360" w:lineRule="exact"/>
        <w:ind w:firstLine="540" w:firstLineChars="150"/>
        <w:rPr>
          <w:rFonts w:hint="eastAsia"/>
          <w:sz w:val="36"/>
          <w:szCs w:val="36"/>
          <w:u w:val="single"/>
        </w:rPr>
      </w:pPr>
    </w:p>
    <w:p>
      <w:pPr>
        <w:spacing w:line="800" w:lineRule="exact"/>
        <w:ind w:firstLine="1687" w:firstLineChars="600"/>
        <w:rPr>
          <w:rFonts w:eastAsia="黑体"/>
          <w:b/>
          <w:sz w:val="32"/>
          <w:u w:val="single"/>
        </w:rPr>
      </w:pPr>
      <w:r>
        <w:rPr>
          <w:rFonts w:hint="eastAsia" w:eastAsia="黑体"/>
          <w:b/>
          <w:sz w:val="28"/>
          <w:szCs w:val="28"/>
        </w:rPr>
        <w:t>作    者</w:t>
      </w:r>
      <w:r>
        <w:rPr>
          <w:rFonts w:hint="eastAsia" w:eastAsia="黑体"/>
          <w:b/>
          <w:sz w:val="30"/>
          <w:szCs w:val="30"/>
        </w:rPr>
        <w:t>：</w:t>
      </w:r>
      <w:r>
        <w:rPr>
          <w:rFonts w:hint="eastAsia" w:eastAsia="黑体"/>
          <w:b/>
          <w:sz w:val="32"/>
          <w:u w:val="single"/>
        </w:rPr>
        <w:t xml:space="preserve">    </w:t>
      </w:r>
      <w:r>
        <w:rPr>
          <w:rFonts w:hint="eastAsia" w:ascii="宋体" w:hAnsi="宋体"/>
          <w:b/>
          <w:sz w:val="28"/>
          <w:szCs w:val="28"/>
          <w:u w:val="single"/>
          <w:lang w:val="en-US" w:eastAsia="zh-CN"/>
        </w:rPr>
        <w:t>卢泽华</w:t>
      </w:r>
      <w:r>
        <w:rPr>
          <w:rFonts w:hint="eastAsia" w:eastAsia="黑体"/>
          <w:b/>
          <w:sz w:val="32"/>
          <w:u w:val="single"/>
        </w:rPr>
        <w:t xml:space="preserve"> </w:t>
      </w:r>
      <w:r>
        <w:rPr>
          <w:rFonts w:hint="eastAsia" w:ascii="宋体" w:hAnsi="宋体"/>
          <w:b/>
          <w:sz w:val="28"/>
          <w:szCs w:val="28"/>
          <w:u w:val="single"/>
        </w:rPr>
        <w:t xml:space="preserve">        </w:t>
      </w:r>
      <w:r>
        <w:rPr>
          <w:rFonts w:hint="eastAsia" w:eastAsia="黑体"/>
          <w:b/>
          <w:sz w:val="32"/>
          <w:u w:val="single"/>
        </w:rPr>
        <w:t xml:space="preserve">    </w:t>
      </w:r>
    </w:p>
    <w:p>
      <w:pPr>
        <w:spacing w:line="800" w:lineRule="exact"/>
        <w:ind w:firstLine="1687" w:firstLineChars="600"/>
        <w:rPr>
          <w:rFonts w:eastAsia="黑体"/>
          <w:b/>
          <w:sz w:val="32"/>
          <w:u w:val="single"/>
        </w:rPr>
      </w:pPr>
      <w:r>
        <w:rPr>
          <w:rFonts w:hint="eastAsia" w:eastAsia="黑体"/>
          <w:b/>
          <w:sz w:val="28"/>
          <w:szCs w:val="28"/>
        </w:rPr>
        <w:t>专    业</w:t>
      </w:r>
      <w:r>
        <w:rPr>
          <w:rFonts w:hint="eastAsia" w:eastAsia="黑体"/>
          <w:b/>
          <w:sz w:val="30"/>
          <w:szCs w:val="30"/>
        </w:rPr>
        <w:t>：</w:t>
      </w:r>
      <w:r>
        <w:rPr>
          <w:rFonts w:hint="eastAsia" w:eastAsia="黑体"/>
          <w:b/>
          <w:sz w:val="32"/>
          <w:u w:val="single"/>
        </w:rPr>
        <w:t xml:space="preserve">    </w:t>
      </w:r>
      <w:r>
        <w:rPr>
          <w:rFonts w:hint="eastAsia" w:ascii="宋体" w:hAnsi="宋体"/>
          <w:b/>
          <w:sz w:val="28"/>
          <w:szCs w:val="28"/>
          <w:u w:val="single"/>
          <w:lang w:val="en-US" w:eastAsia="zh-CN"/>
        </w:rPr>
        <w:t>金融学</w:t>
      </w:r>
      <w:r>
        <w:rPr>
          <w:rFonts w:hint="eastAsia" w:ascii="宋体" w:hAnsi="宋体"/>
          <w:b/>
          <w:sz w:val="28"/>
          <w:szCs w:val="28"/>
          <w:u w:val="single"/>
        </w:rPr>
        <w:t xml:space="preserve">       </w:t>
      </w:r>
      <w:r>
        <w:rPr>
          <w:rFonts w:hint="eastAsia" w:eastAsia="黑体"/>
          <w:b/>
          <w:sz w:val="32"/>
          <w:u w:val="single"/>
        </w:rPr>
        <w:t xml:space="preserve">      </w:t>
      </w:r>
    </w:p>
    <w:p>
      <w:pPr>
        <w:spacing w:line="800" w:lineRule="exact"/>
        <w:ind w:firstLine="1687" w:firstLineChars="600"/>
        <w:rPr>
          <w:rFonts w:hint="eastAsia" w:eastAsia="黑体"/>
          <w:b/>
          <w:sz w:val="32"/>
          <w:u w:val="single"/>
          <w:lang w:val="en-US" w:eastAsia="zh-CN"/>
        </w:rPr>
      </w:pPr>
      <w:r>
        <w:rPr>
          <w:rFonts w:hint="eastAsia" w:eastAsia="黑体"/>
          <w:b/>
          <w:sz w:val="28"/>
          <w:szCs w:val="28"/>
        </w:rPr>
        <w:t>年    级</w:t>
      </w:r>
      <w:r>
        <w:rPr>
          <w:rFonts w:hint="eastAsia" w:eastAsia="黑体"/>
          <w:b/>
          <w:sz w:val="30"/>
          <w:szCs w:val="30"/>
        </w:rPr>
        <w:t>：</w:t>
      </w:r>
      <w:r>
        <w:rPr>
          <w:rFonts w:hint="eastAsia" w:eastAsia="黑体"/>
          <w:b/>
          <w:sz w:val="32"/>
          <w:u w:val="single"/>
        </w:rPr>
        <w:t xml:space="preserve">    </w:t>
      </w:r>
      <w:r>
        <w:rPr>
          <w:rFonts w:hint="eastAsia" w:ascii="宋体" w:hAnsi="宋体"/>
          <w:b/>
          <w:sz w:val="28"/>
          <w:szCs w:val="28"/>
          <w:u w:val="single"/>
          <w:lang w:val="en-US" w:eastAsia="zh-CN"/>
        </w:rPr>
        <w:t>2020级</w:t>
      </w:r>
      <w:r>
        <w:rPr>
          <w:rFonts w:hint="eastAsia" w:ascii="宋体" w:hAnsi="宋体"/>
          <w:b/>
          <w:sz w:val="28"/>
          <w:szCs w:val="28"/>
          <w:u w:val="single"/>
        </w:rPr>
        <w:t xml:space="preserve">      </w:t>
      </w:r>
      <w:r>
        <w:rPr>
          <w:rFonts w:hint="eastAsia" w:eastAsia="黑体"/>
          <w:b/>
          <w:sz w:val="32"/>
          <w:u w:val="single"/>
        </w:rPr>
        <w:t xml:space="preserve">      </w:t>
      </w:r>
      <w:r>
        <w:rPr>
          <w:rFonts w:hint="eastAsia" w:eastAsia="黑体"/>
          <w:b/>
          <w:sz w:val="32"/>
          <w:u w:val="single"/>
          <w:lang w:val="en-US" w:eastAsia="zh-CN"/>
        </w:rPr>
        <w:t xml:space="preserve"> </w:t>
      </w:r>
    </w:p>
    <w:p>
      <w:pPr>
        <w:spacing w:line="800" w:lineRule="exact"/>
        <w:ind w:firstLine="1687" w:firstLineChars="600"/>
        <w:rPr>
          <w:rFonts w:hint="eastAsia" w:eastAsia="黑体"/>
          <w:b/>
          <w:sz w:val="32"/>
        </w:rPr>
      </w:pPr>
      <w:r>
        <w:rPr>
          <w:rFonts w:hint="eastAsia" w:eastAsia="黑体"/>
          <w:b/>
          <w:sz w:val="28"/>
          <w:szCs w:val="28"/>
        </w:rPr>
        <w:t>学    号</w:t>
      </w:r>
      <w:r>
        <w:rPr>
          <w:rFonts w:hint="eastAsia" w:eastAsia="黑体"/>
          <w:b/>
          <w:sz w:val="30"/>
          <w:szCs w:val="30"/>
        </w:rPr>
        <w:t>：</w:t>
      </w:r>
      <w:r>
        <w:rPr>
          <w:rFonts w:hint="eastAsia" w:eastAsia="黑体"/>
          <w:b/>
          <w:sz w:val="32"/>
          <w:u w:val="single"/>
        </w:rPr>
        <w:t xml:space="preserve">  </w:t>
      </w:r>
      <w:r>
        <w:rPr>
          <w:rFonts w:hint="eastAsia" w:ascii="宋体" w:hAnsi="宋体"/>
          <w:b/>
          <w:sz w:val="28"/>
          <w:szCs w:val="28"/>
          <w:u w:val="single"/>
        </w:rPr>
        <w:t xml:space="preserve">  </w:t>
      </w:r>
      <w:r>
        <w:rPr>
          <w:rFonts w:hint="eastAsia" w:ascii="宋体" w:hAnsi="宋体"/>
          <w:b/>
          <w:sz w:val="28"/>
          <w:szCs w:val="28"/>
          <w:u w:val="single"/>
          <w:lang w:val="en-US" w:eastAsia="zh-CN"/>
        </w:rPr>
        <w:t>2020022093</w:t>
      </w:r>
      <w:r>
        <w:rPr>
          <w:rFonts w:hint="eastAsia" w:ascii="宋体" w:hAnsi="宋体"/>
          <w:b/>
          <w:sz w:val="28"/>
          <w:szCs w:val="28"/>
          <w:u w:val="single"/>
        </w:rPr>
        <w:t xml:space="preserve">        </w:t>
      </w:r>
      <w:r>
        <w:rPr>
          <w:rFonts w:hint="eastAsia" w:ascii="宋体" w:hAnsi="宋体"/>
          <w:b/>
          <w:sz w:val="28"/>
          <w:szCs w:val="28"/>
          <w:u w:val="single"/>
          <w:lang w:val="en-US" w:eastAsia="zh-CN"/>
        </w:rPr>
        <w:t xml:space="preserve"> </w:t>
      </w:r>
      <w:r>
        <w:rPr>
          <w:rFonts w:hint="eastAsia" w:eastAsia="黑体"/>
          <w:b/>
          <w:sz w:val="32"/>
          <w:u w:val="single"/>
        </w:rPr>
        <w:t xml:space="preserve"> </w:t>
      </w:r>
    </w:p>
    <w:p>
      <w:pPr>
        <w:widowControl/>
        <w:jc w:val="left"/>
        <w:rPr>
          <w:rFonts w:ascii="黑体" w:hAnsi="宋体" w:eastAsia="黑体"/>
          <w:b/>
          <w:bCs/>
          <w:sz w:val="36"/>
          <w:szCs w:val="36"/>
        </w:rPr>
      </w:pPr>
    </w:p>
    <w:p>
      <w:pPr>
        <w:widowControl/>
        <w:jc w:val="left"/>
        <w:rPr>
          <w:rFonts w:ascii="Calibri" w:hAnsi="Calibri" w:eastAsia="黑体"/>
          <w:bCs/>
          <w:sz w:val="36"/>
          <w:szCs w:val="36"/>
        </w:rPr>
      </w:pPr>
    </w:p>
    <w:p>
      <w:pPr>
        <w:spacing w:line="800" w:lineRule="exact"/>
        <w:ind w:firstLine="3935" w:firstLineChars="1400"/>
        <w:jc w:val="right"/>
        <w:rPr>
          <w:rFonts w:hint="eastAsia" w:ascii="宋体" w:hAnsi="宋体" w:cs="宋体"/>
          <w:b/>
          <w:sz w:val="28"/>
          <w:szCs w:val="28"/>
        </w:rPr>
      </w:pPr>
      <w:r>
        <w:rPr>
          <w:rFonts w:hint="eastAsia" w:ascii="宋体" w:hAnsi="宋体" w:cs="宋体"/>
          <w:b/>
          <w:sz w:val="28"/>
          <w:szCs w:val="28"/>
          <w:lang w:val="en-US" w:eastAsia="zh-CN"/>
        </w:rPr>
        <w:t>2022</w:t>
      </w:r>
      <w:r>
        <w:rPr>
          <w:rFonts w:hint="eastAsia" w:ascii="宋体" w:hAnsi="宋体" w:cs="宋体"/>
          <w:b/>
          <w:sz w:val="28"/>
          <w:szCs w:val="28"/>
        </w:rPr>
        <w:t xml:space="preserve">年 </w:t>
      </w:r>
      <w:r>
        <w:rPr>
          <w:rFonts w:hint="eastAsia" w:ascii="宋体" w:hAnsi="宋体" w:cs="宋体"/>
          <w:b/>
          <w:sz w:val="28"/>
          <w:szCs w:val="28"/>
          <w:lang w:val="en-US" w:eastAsia="zh-CN"/>
        </w:rPr>
        <w:t>11</w:t>
      </w:r>
      <w:r>
        <w:rPr>
          <w:rFonts w:hint="eastAsia" w:ascii="宋体" w:hAnsi="宋体" w:cs="宋体"/>
          <w:b/>
          <w:sz w:val="28"/>
          <w:szCs w:val="28"/>
        </w:rPr>
        <w:t>月</w:t>
      </w:r>
    </w:p>
    <w:p>
      <w:pPr>
        <w:spacing w:line="800" w:lineRule="exact"/>
        <w:ind w:firstLine="3935" w:firstLineChars="1400"/>
        <w:jc w:val="right"/>
        <w:rPr>
          <w:rFonts w:hint="eastAsia" w:ascii="宋体" w:hAnsi="宋体" w:cs="宋体"/>
          <w:b/>
          <w:sz w:val="28"/>
          <w:szCs w:val="28"/>
        </w:rPr>
      </w:pPr>
    </w:p>
    <w:p>
      <w:pPr>
        <w:spacing w:line="800" w:lineRule="exact"/>
        <w:ind w:firstLine="3935" w:firstLineChars="1400"/>
        <w:jc w:val="right"/>
        <w:rPr>
          <w:rFonts w:hint="eastAsia" w:ascii="宋体" w:hAnsi="宋体" w:cs="宋体"/>
          <w:b/>
          <w:sz w:val="28"/>
          <w:szCs w:val="28"/>
        </w:rPr>
      </w:pPr>
    </w:p>
    <w:p>
      <w:pPr>
        <w:spacing w:line="800" w:lineRule="exact"/>
        <w:rPr>
          <w:rFonts w:hint="eastAsia" w:ascii="宋体" w:hAnsi="宋体" w:cs="宋体"/>
          <w:b/>
          <w:sz w:val="28"/>
          <w:szCs w:val="28"/>
        </w:rPr>
      </w:pPr>
    </w:p>
    <w:p>
      <w:pPr>
        <w:jc w:val="both"/>
        <w:rPr>
          <w:rFonts w:hint="eastAsia"/>
          <w:b/>
          <w:sz w:val="32"/>
          <w:szCs w:val="32"/>
        </w:rPr>
      </w:pPr>
    </w:p>
    <w:p>
      <w:pPr>
        <w:jc w:val="center"/>
        <w:rPr>
          <w:rFonts w:hint="eastAsia"/>
          <w:b/>
          <w:sz w:val="32"/>
          <w:szCs w:val="32"/>
        </w:rPr>
      </w:pPr>
    </w:p>
    <w:p>
      <w:pPr>
        <w:jc w:val="center"/>
        <w:rPr>
          <w:rFonts w:hint="eastAsia"/>
          <w:b/>
          <w:sz w:val="32"/>
          <w:szCs w:val="32"/>
        </w:rPr>
      </w:pPr>
      <w:r>
        <w:rPr>
          <w:rFonts w:hint="eastAsia"/>
          <w:b/>
          <w:sz w:val="32"/>
          <w:szCs w:val="32"/>
          <w:lang w:val="en-US" w:eastAsia="zh-CN"/>
        </w:rPr>
        <w:t>银行保理业务</w:t>
      </w:r>
      <w:r>
        <w:rPr>
          <w:rFonts w:hint="eastAsia"/>
          <w:b/>
          <w:sz w:val="32"/>
          <w:szCs w:val="32"/>
        </w:rPr>
        <w:t>的</w:t>
      </w:r>
      <w:r>
        <w:rPr>
          <w:rFonts w:hint="eastAsia"/>
          <w:b/>
          <w:sz w:val="32"/>
          <w:szCs w:val="32"/>
          <w:lang w:val="en-US" w:eastAsia="zh-CN"/>
        </w:rPr>
        <w:t>全流程</w:t>
      </w:r>
      <w:r>
        <w:rPr>
          <w:rFonts w:hint="eastAsia"/>
          <w:b/>
          <w:sz w:val="32"/>
          <w:szCs w:val="32"/>
        </w:rPr>
        <w:t>研究</w:t>
      </w:r>
    </w:p>
    <w:p>
      <w:pPr>
        <w:spacing w:line="360" w:lineRule="auto"/>
        <w:rPr>
          <w:rFonts w:hint="eastAsia"/>
          <w:b/>
        </w:rPr>
      </w:pPr>
    </w:p>
    <w:p>
      <w:pPr>
        <w:tabs>
          <w:tab w:val="left" w:pos="7920"/>
        </w:tabs>
        <w:spacing w:line="360" w:lineRule="auto"/>
        <w:rPr>
          <w:rFonts w:hint="eastAsia"/>
          <w:lang w:val="en-US" w:eastAsia="zh-CN"/>
        </w:rPr>
      </w:pPr>
      <w:r>
        <w:rPr>
          <w:rFonts w:hint="eastAsia"/>
          <w:b/>
          <w:sz w:val="24"/>
          <w:szCs w:val="24"/>
        </w:rPr>
        <w:t>摘要</w:t>
      </w:r>
      <w:r>
        <w:rPr>
          <w:rFonts w:hint="eastAsia"/>
          <w:sz w:val="24"/>
          <w:szCs w:val="24"/>
        </w:rPr>
        <w:t>：</w:t>
      </w:r>
    </w:p>
    <w:p>
      <w:pPr>
        <w:tabs>
          <w:tab w:val="left" w:pos="7920"/>
        </w:tabs>
        <w:spacing w:line="360" w:lineRule="auto"/>
        <w:ind w:firstLine="420" w:firstLineChars="200"/>
        <w:rPr>
          <w:rFonts w:hint="default"/>
          <w:lang w:val="en-US" w:eastAsia="zh-CN"/>
        </w:rPr>
      </w:pPr>
      <w:r>
        <w:rPr>
          <w:rFonts w:hint="eastAsia"/>
          <w:lang w:val="en-US" w:eastAsia="zh-CN"/>
        </w:rPr>
        <w:t>本文全面探讨了银行保理业务的核心要素，包括业务概述、流程、风险以及风险规避策略。银行保理业务是一种综合性金融服务，以债权转让为基础，集合了应收账款催收、管理、坏账担保和融资等功能。在业务流程中，从贷前审查到贷中管理和贷后监控，每个环节都被详细阐述。同时，不同风险，如借款人信用风险、虚假交易等，也得到了深入分析。为了规避这些风险，银行采取了严格的通知控制措施，确保交易的安全性。综合而言，本文为银行保理业务的理解和实践提供了全面的指导</w:t>
      </w:r>
      <w:r>
        <w:rPr>
          <w:rFonts w:hint="default"/>
          <w:lang w:val="en-US" w:eastAsia="zh-CN"/>
        </w:rPr>
        <w:t>。</w:t>
      </w:r>
    </w:p>
    <w:p>
      <w:pPr>
        <w:tabs>
          <w:tab w:val="left" w:pos="7920"/>
        </w:tabs>
        <w:spacing w:line="360" w:lineRule="auto"/>
        <w:rPr>
          <w:rFonts w:hint="eastAsia"/>
          <w:sz w:val="24"/>
          <w:szCs w:val="24"/>
        </w:rPr>
      </w:pPr>
    </w:p>
    <w:p>
      <w:pPr>
        <w:tabs>
          <w:tab w:val="left" w:pos="7920"/>
        </w:tabs>
        <w:spacing w:line="360" w:lineRule="auto"/>
        <w:rPr>
          <w:rFonts w:hint="eastAsia"/>
          <w:sz w:val="24"/>
          <w:szCs w:val="24"/>
        </w:rPr>
      </w:pPr>
    </w:p>
    <w:p>
      <w:pPr>
        <w:tabs>
          <w:tab w:val="left" w:pos="7920"/>
        </w:tabs>
        <w:spacing w:line="360" w:lineRule="auto"/>
        <w:rPr>
          <w:rFonts w:hint="eastAsia"/>
          <w:sz w:val="24"/>
          <w:szCs w:val="24"/>
        </w:rPr>
      </w:pPr>
      <w:r>
        <w:rPr>
          <w:rFonts w:hint="eastAsia"/>
          <w:b/>
          <w:sz w:val="24"/>
          <w:szCs w:val="24"/>
        </w:rPr>
        <w:t>关键词</w:t>
      </w:r>
      <w:r>
        <w:rPr>
          <w:rFonts w:hint="eastAsia"/>
          <w:b/>
          <w:sz w:val="24"/>
          <w:szCs w:val="24"/>
          <w:lang w:eastAsia="zh-CN"/>
        </w:rPr>
        <w:t>：</w:t>
      </w:r>
      <w:r>
        <w:rPr>
          <w:rFonts w:hint="eastAsia"/>
          <w:sz w:val="24"/>
          <w:szCs w:val="24"/>
          <w:lang w:val="en-US" w:eastAsia="zh-CN"/>
        </w:rPr>
        <w:t>银行保理业务，综合性金融服务，业务流程，风险管理</w:t>
      </w:r>
    </w:p>
    <w:p>
      <w:pPr>
        <w:tabs>
          <w:tab w:val="left" w:pos="7920"/>
        </w:tabs>
        <w:spacing w:line="360" w:lineRule="auto"/>
        <w:rPr>
          <w:rFonts w:hint="eastAsia"/>
          <w:sz w:val="24"/>
          <w:szCs w:val="24"/>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tabs>
          <w:tab w:val="left" w:pos="7920"/>
        </w:tabs>
        <w:spacing w:line="360" w:lineRule="auto"/>
        <w:rPr>
          <w:rFonts w:hint="eastAsia"/>
        </w:rPr>
      </w:pPr>
    </w:p>
    <w:p>
      <w:pPr>
        <w:pStyle w:val="7"/>
        <w:jc w:val="center"/>
        <w:rPr>
          <w:rFonts w:hint="eastAsia"/>
          <w:b/>
          <w:sz w:val="32"/>
          <w:szCs w:val="32"/>
        </w:rPr>
      </w:pPr>
    </w:p>
    <w:p>
      <w:pPr>
        <w:tabs>
          <w:tab w:val="left" w:pos="7920"/>
        </w:tabs>
        <w:spacing w:line="360" w:lineRule="auto"/>
        <w:rPr>
          <w:rFonts w:hint="eastAsia"/>
          <w:lang w:val="en-US" w:eastAsia="zh-CN"/>
        </w:rPr>
      </w:pPr>
    </w:p>
    <w:p>
      <w:pPr>
        <w:tabs>
          <w:tab w:val="left" w:pos="7920"/>
        </w:tabs>
        <w:spacing w:line="360" w:lineRule="auto"/>
        <w:ind w:firstLine="437"/>
        <w:rPr>
          <w:rFonts w:hint="default"/>
          <w:lang w:val="en-US" w:eastAsia="zh-CN"/>
        </w:rPr>
      </w:pPr>
      <w:r>
        <w:rPr>
          <w:rFonts w:hint="eastAsia"/>
          <w:lang w:val="en-US" w:eastAsia="zh-CN"/>
        </w:rPr>
        <w:t>近两年，伴随</w:t>
      </w:r>
      <w:r>
        <w:rPr>
          <w:rFonts w:hint="default"/>
          <w:lang w:val="en-US" w:eastAsia="zh-CN"/>
        </w:rPr>
        <w:t>新冠疫情</w:t>
      </w:r>
      <w:r>
        <w:rPr>
          <w:rFonts w:hint="eastAsia"/>
          <w:lang w:val="en-US" w:eastAsia="zh-CN"/>
        </w:rPr>
        <w:t>的蔓延扩大，国际经济环境动荡不安， 无论发达国家还是新兴经济体都深受影响。目前各国经济复苏基础尚未夯实， 国际竞争日趋激烈，贸易保护日渐抬头，众多中小型外贸企业的处境日益艰难，如何扶持这些中小企业，实现经济健康发展，业已成为社会关注的焦点。而保理作为一项集贸易融资、商业资信调查、应收账款管理以及信用风险担保为一体的综合性金融服务，其独特的融资优势， 能有效盘活应收账款， 降低资金占压和信用风险， 是破解中小企业融资困境、促使国际贸易复苏的有力工具</w:t>
      </w:r>
      <w:r>
        <w:rPr>
          <w:rFonts w:hint="eastAsia"/>
          <w:vertAlign w:val="superscript"/>
          <w:lang w:val="en-US" w:eastAsia="zh-CN"/>
        </w:rPr>
        <w:t>[1]</w:t>
      </w:r>
      <w:r>
        <w:rPr>
          <w:rFonts w:hint="eastAsia"/>
          <w:lang w:val="en-US" w:eastAsia="zh-CN"/>
        </w:rPr>
        <w:t>。</w:t>
      </w:r>
    </w:p>
    <w:p>
      <w:pPr>
        <w:tabs>
          <w:tab w:val="left" w:pos="7920"/>
        </w:tabs>
        <w:spacing w:line="360" w:lineRule="auto"/>
        <w:ind w:firstLine="420" w:firstLineChars="200"/>
        <w:rPr>
          <w:rFonts w:hint="eastAsia"/>
        </w:rPr>
      </w:pPr>
    </w:p>
    <w:p>
      <w:pPr>
        <w:pStyle w:val="2"/>
        <w:rPr>
          <w:rFonts w:hint="eastAsia"/>
        </w:rPr>
      </w:pPr>
      <w:bookmarkStart w:id="0" w:name="_Toc382496256"/>
      <w:r>
        <w:rPr>
          <w:rFonts w:hint="eastAsia"/>
        </w:rPr>
        <w:t>一、</w:t>
      </w:r>
      <w:r>
        <w:rPr>
          <w:rFonts w:hint="eastAsia"/>
          <w:lang w:val="en-US" w:eastAsia="zh-CN"/>
        </w:rPr>
        <w:t>保理业务</w:t>
      </w:r>
      <w:r>
        <w:rPr>
          <w:rFonts w:hint="eastAsia"/>
        </w:rPr>
        <w:t>概述</w:t>
      </w:r>
      <w:bookmarkEnd w:id="0"/>
    </w:p>
    <w:p>
      <w:pPr>
        <w:pStyle w:val="3"/>
        <w:rPr>
          <w:rFonts w:hint="default"/>
          <w:lang w:val="en-US"/>
        </w:rPr>
      </w:pPr>
      <w:bookmarkStart w:id="1" w:name="_Toc382496257"/>
      <w:r>
        <w:rPr>
          <w:rFonts w:hint="eastAsia"/>
        </w:rPr>
        <w:t xml:space="preserve">1.1 </w:t>
      </w:r>
      <w:bookmarkEnd w:id="1"/>
      <w:r>
        <w:rPr>
          <w:rFonts w:hint="eastAsia"/>
          <w:lang w:val="en-US" w:eastAsia="zh-CN"/>
        </w:rPr>
        <w:t>保理业务的产品结构</w:t>
      </w:r>
    </w:p>
    <w:p>
      <w:pPr>
        <w:tabs>
          <w:tab w:val="left" w:pos="7920"/>
        </w:tabs>
        <w:spacing w:line="360" w:lineRule="auto"/>
        <w:ind w:firstLine="437"/>
        <w:rPr>
          <w:rFonts w:hint="eastAsia"/>
        </w:rPr>
      </w:pPr>
      <w:r>
        <w:rPr>
          <w:rFonts w:hint="eastAsia"/>
        </w:rPr>
        <w:t>根据《商业银行保理业务管理暂行办法》的规定，保理业务是一种综合性金融服务，其基础在于债权人将其应收账款进行转让，从而实现了应收账款催收、管理、坏账担保和融资等多方面功能的有机融合。在这一商业模式下，商业银行扮演着关键的角色，为债权人和客户提供了一系列高度专业化的服务。</w:t>
      </w:r>
    </w:p>
    <w:p>
      <w:pPr>
        <w:tabs>
          <w:tab w:val="left" w:pos="7920"/>
        </w:tabs>
        <w:spacing w:line="360" w:lineRule="auto"/>
        <w:ind w:firstLine="437"/>
        <w:rPr>
          <w:rFonts w:hint="eastAsia"/>
        </w:rPr>
      </w:pPr>
      <w:r>
        <w:rPr>
          <w:rFonts w:hint="eastAsia"/>
        </w:rPr>
        <w:t>具体而言，保理业务涵盖了以下主要方面：</w:t>
      </w:r>
    </w:p>
    <w:p>
      <w:pPr>
        <w:tabs>
          <w:tab w:val="left" w:pos="7920"/>
        </w:tabs>
        <w:spacing w:line="360" w:lineRule="auto"/>
        <w:ind w:firstLine="437"/>
        <w:rPr>
          <w:rFonts w:hint="eastAsia"/>
        </w:rPr>
      </w:pPr>
      <w:r>
        <w:rPr>
          <w:rFonts w:hint="eastAsia"/>
          <w:lang w:eastAsia="zh-CN"/>
        </w:rPr>
        <w:t>（</w:t>
      </w:r>
      <w:r>
        <w:rPr>
          <w:rFonts w:hint="eastAsia"/>
          <w:lang w:val="en-US" w:eastAsia="zh-CN"/>
        </w:rPr>
        <w:t>1</w:t>
      </w:r>
      <w:r>
        <w:rPr>
          <w:rFonts w:hint="eastAsia"/>
          <w:lang w:eastAsia="zh-CN"/>
        </w:rPr>
        <w:t>）</w:t>
      </w:r>
      <w:r>
        <w:rPr>
          <w:rFonts w:hint="eastAsia"/>
        </w:rPr>
        <w:t>服务范围： 保理业务广泛涵盖了多个关键领域，包括保理融资、应收账款管理、应收账款催收、信用风险控制以及坏账担保等。不同的客户可以根据自身需求，选择其中一个或多个服务项目。</w:t>
      </w:r>
    </w:p>
    <w:p>
      <w:pPr>
        <w:tabs>
          <w:tab w:val="left" w:pos="7920"/>
        </w:tabs>
        <w:spacing w:line="360" w:lineRule="auto"/>
        <w:ind w:firstLine="437"/>
        <w:rPr>
          <w:rFonts w:hint="eastAsia"/>
        </w:rPr>
      </w:pPr>
      <w:r>
        <w:rPr>
          <w:rFonts w:hint="eastAsia"/>
          <w:lang w:eastAsia="zh-CN"/>
        </w:rPr>
        <w:t>（</w:t>
      </w:r>
      <w:r>
        <w:rPr>
          <w:rFonts w:hint="eastAsia"/>
          <w:lang w:val="en-US" w:eastAsia="zh-CN"/>
        </w:rPr>
        <w:t>2</w:t>
      </w:r>
      <w:r>
        <w:rPr>
          <w:rFonts w:hint="eastAsia"/>
          <w:lang w:eastAsia="zh-CN"/>
        </w:rPr>
        <w:t>）</w:t>
      </w:r>
      <w:r>
        <w:rPr>
          <w:rFonts w:hint="eastAsia"/>
        </w:rPr>
        <w:t>业务分类： 银行保理业务根据其特性进一步细分为多个类型，诸如国内保理与国际保理、普通保理、再保理与融资租赁保理、信用保险单项下保理与非信用保险单项下保理，还包括单保理与双保理，甚至有追索权保理和有限追索权保理等。这种详细分类充分考虑了不同行业和市场的需求，使保理业务更具针对性和适应性。</w:t>
      </w:r>
    </w:p>
    <w:p>
      <w:pPr>
        <w:tabs>
          <w:tab w:val="left" w:pos="7920"/>
        </w:tabs>
        <w:spacing w:line="360" w:lineRule="auto"/>
        <w:ind w:firstLine="437"/>
        <w:rPr>
          <w:rFonts w:hint="eastAsia"/>
        </w:rPr>
      </w:pPr>
      <w:r>
        <w:rPr>
          <w:rFonts w:hint="eastAsia"/>
        </w:rPr>
        <w:t>银行保理业务作为一项专业而具体的金融服务，为债权人和客户提供了全方位的支持。其细致的分类和服务内容使得在不同需求情况下的企业能够找到最为切实的解决方案，从而更好地管理现金流、规避风险，并实现其融资目标。</w:t>
      </w:r>
    </w:p>
    <w:p>
      <w:pPr>
        <w:tabs>
          <w:tab w:val="left" w:pos="7920"/>
        </w:tabs>
        <w:spacing w:line="360" w:lineRule="auto"/>
        <w:ind w:firstLine="437"/>
        <w:rPr>
          <w:rFonts w:hint="eastAsia" w:eastAsia="宋体"/>
          <w:lang w:eastAsia="zh-CN"/>
        </w:rPr>
      </w:pPr>
      <w:r>
        <w:rPr>
          <w:rFonts w:hint="eastAsia"/>
        </w:rPr>
        <w:t>银行保单：客户可通过银行便捷地进行保险投保，省时省心。银行将代为向保险公司申报，使整个手续变得简捷顺利。在理赔过程中，银行担当主要角色，一站式服务使理赔流程变得方便快捷，一步到位</w:t>
      </w:r>
      <w:r>
        <w:rPr>
          <w:rFonts w:hint="eastAsia"/>
          <w:lang w:eastAsia="zh-CN"/>
        </w:rPr>
        <w:t>。</w:t>
      </w:r>
    </w:p>
    <w:p>
      <w:pPr>
        <w:tabs>
          <w:tab w:val="left" w:pos="7920"/>
        </w:tabs>
        <w:spacing w:line="360" w:lineRule="auto"/>
        <w:ind w:firstLine="437"/>
        <w:jc w:val="center"/>
        <w:rPr>
          <w:rFonts w:hint="eastAsia" w:eastAsia="宋体"/>
          <w:lang w:eastAsia="zh-CN"/>
        </w:rPr>
      </w:pPr>
      <w:r>
        <w:rPr>
          <w:rFonts w:hint="eastAsia" w:eastAsia="宋体"/>
          <w:lang w:eastAsia="zh-CN"/>
        </w:rPr>
        <w:drawing>
          <wp:inline distT="0" distB="0" distL="0" distR="0">
            <wp:extent cx="3726815" cy="2383155"/>
            <wp:effectExtent l="0" t="0" r="6985" b="7620"/>
            <wp:docPr id="1027" name="图片 2" descr="未命名文件(8)"/>
            <wp:cNvGraphicFramePr/>
            <a:graphic xmlns:a="http://schemas.openxmlformats.org/drawingml/2006/main">
              <a:graphicData uri="http://schemas.openxmlformats.org/drawingml/2006/picture">
                <pic:pic xmlns:pic="http://schemas.openxmlformats.org/drawingml/2006/picture">
                  <pic:nvPicPr>
                    <pic:cNvPr id="1027" name="图片 2" descr="未命名文件(8)"/>
                    <pic:cNvPicPr/>
                  </pic:nvPicPr>
                  <pic:blipFill>
                    <a:blip r:embed="rId6" cstate="print"/>
                    <a:srcRect/>
                    <a:stretch>
                      <a:fillRect/>
                    </a:stretch>
                  </pic:blipFill>
                  <pic:spPr>
                    <a:xfrm>
                      <a:off x="0" y="0"/>
                      <a:ext cx="3726815" cy="2383155"/>
                    </a:xfrm>
                    <a:prstGeom prst="rect">
                      <a:avLst/>
                    </a:prstGeom>
                  </pic:spPr>
                </pic:pic>
              </a:graphicData>
            </a:graphic>
          </wp:inline>
        </w:drawing>
      </w:r>
    </w:p>
    <w:p>
      <w:pPr>
        <w:tabs>
          <w:tab w:val="left" w:pos="7920"/>
        </w:tabs>
        <w:spacing w:line="360" w:lineRule="auto"/>
        <w:ind w:firstLine="437"/>
        <w:jc w:val="center"/>
        <w:rPr>
          <w:rFonts w:hint="default" w:eastAsia="宋体"/>
          <w:lang w:val="en-US" w:eastAsia="zh-CN"/>
        </w:rPr>
      </w:pPr>
      <w:r>
        <w:rPr>
          <w:rFonts w:hint="eastAsia"/>
          <w:lang w:val="en-US" w:eastAsia="zh-CN"/>
        </w:rPr>
        <w:t>图1-1 银行保单流程图</w:t>
      </w:r>
    </w:p>
    <w:p>
      <w:pPr>
        <w:tabs>
          <w:tab w:val="left" w:pos="7920"/>
        </w:tabs>
        <w:spacing w:line="360" w:lineRule="auto"/>
        <w:ind w:firstLine="437"/>
        <w:rPr>
          <w:rFonts w:hint="eastAsia"/>
        </w:rPr>
      </w:pPr>
    </w:p>
    <w:p>
      <w:pPr>
        <w:tabs>
          <w:tab w:val="left" w:pos="7920"/>
        </w:tabs>
        <w:spacing w:line="360" w:lineRule="auto"/>
        <w:ind w:firstLine="437"/>
        <w:rPr>
          <w:rFonts w:hint="eastAsia"/>
        </w:rPr>
      </w:pPr>
      <w:r>
        <w:rPr>
          <w:rFonts w:hint="eastAsia"/>
        </w:rPr>
        <w:t>企业保单：客户可根据个体需求向保险公司投保，而银行也能够为其提供融资支持，以满足客户多样化的需求。</w:t>
      </w:r>
    </w:p>
    <w:p>
      <w:pPr>
        <w:tabs>
          <w:tab w:val="left" w:pos="7920"/>
        </w:tabs>
        <w:spacing w:line="360" w:lineRule="auto"/>
        <w:ind w:firstLine="437"/>
        <w:jc w:val="center"/>
        <w:rPr>
          <w:rFonts w:hint="eastAsia" w:eastAsia="宋体"/>
          <w:lang w:eastAsia="zh-CN"/>
        </w:rPr>
      </w:pPr>
      <w:r>
        <w:rPr>
          <w:rFonts w:hint="eastAsia" w:eastAsia="宋体"/>
          <w:lang w:eastAsia="zh-CN"/>
        </w:rPr>
        <w:drawing>
          <wp:inline distT="0" distB="0" distL="0" distR="0">
            <wp:extent cx="3940175" cy="2068830"/>
            <wp:effectExtent l="0" t="0" r="0" b="3810"/>
            <wp:docPr id="1028" name="图片 3" descr="未命名文件(9)"/>
            <wp:cNvGraphicFramePr/>
            <a:graphic xmlns:a="http://schemas.openxmlformats.org/drawingml/2006/main">
              <a:graphicData uri="http://schemas.openxmlformats.org/drawingml/2006/picture">
                <pic:pic xmlns:pic="http://schemas.openxmlformats.org/drawingml/2006/picture">
                  <pic:nvPicPr>
                    <pic:cNvPr id="1028" name="图片 3" descr="未命名文件(9)"/>
                    <pic:cNvPicPr/>
                  </pic:nvPicPr>
                  <pic:blipFill>
                    <a:blip r:embed="rId7" cstate="print"/>
                    <a:srcRect/>
                    <a:stretch>
                      <a:fillRect/>
                    </a:stretch>
                  </pic:blipFill>
                  <pic:spPr>
                    <a:xfrm>
                      <a:off x="0" y="0"/>
                      <a:ext cx="3940175" cy="2068830"/>
                    </a:xfrm>
                    <a:prstGeom prst="rect">
                      <a:avLst/>
                    </a:prstGeom>
                  </pic:spPr>
                </pic:pic>
              </a:graphicData>
            </a:graphic>
          </wp:inline>
        </w:drawing>
      </w:r>
    </w:p>
    <w:p>
      <w:pPr>
        <w:tabs>
          <w:tab w:val="left" w:pos="7920"/>
        </w:tabs>
        <w:spacing w:line="360" w:lineRule="auto"/>
        <w:ind w:firstLine="437"/>
        <w:jc w:val="center"/>
        <w:rPr>
          <w:rFonts w:hint="eastAsia"/>
          <w:lang w:val="en-US" w:eastAsia="zh-CN"/>
        </w:rPr>
      </w:pPr>
      <w:r>
        <w:rPr>
          <w:rFonts w:hint="eastAsia"/>
          <w:lang w:val="en-US" w:eastAsia="zh-CN"/>
        </w:rPr>
        <w:t>图1-2 企业保单流程图</w:t>
      </w:r>
    </w:p>
    <w:p>
      <w:pPr>
        <w:tabs>
          <w:tab w:val="left" w:pos="7920"/>
        </w:tabs>
        <w:spacing w:line="360" w:lineRule="auto"/>
        <w:ind w:firstLine="437"/>
        <w:jc w:val="center"/>
        <w:rPr>
          <w:rFonts w:hint="eastAsia"/>
          <w:lang w:val="en-US" w:eastAsia="zh-CN"/>
        </w:rPr>
      </w:pPr>
    </w:p>
    <w:p>
      <w:pPr>
        <w:pStyle w:val="3"/>
        <w:rPr>
          <w:rFonts w:hint="default"/>
          <w:lang w:val="en-US"/>
        </w:rPr>
      </w:pPr>
      <w:bookmarkStart w:id="2" w:name="_Toc382496258"/>
      <w:r>
        <w:rPr>
          <w:rFonts w:hint="eastAsia"/>
        </w:rPr>
        <w:t xml:space="preserve">1.2 </w:t>
      </w:r>
      <w:bookmarkEnd w:id="2"/>
      <w:r>
        <w:rPr>
          <w:rFonts w:hint="eastAsia"/>
          <w:lang w:val="en-US" w:eastAsia="zh-CN"/>
        </w:rPr>
        <w:t>保理业务的优势比较</w:t>
      </w:r>
    </w:p>
    <w:p>
      <w:pPr>
        <w:tabs>
          <w:tab w:val="left" w:pos="7920"/>
        </w:tabs>
        <w:spacing w:line="360" w:lineRule="auto"/>
        <w:ind w:firstLine="420" w:firstLineChars="200"/>
        <w:rPr>
          <w:rFonts w:hint="eastAsia" w:eastAsia="宋体"/>
          <w:lang w:eastAsia="zh-CN"/>
        </w:rPr>
      </w:pPr>
      <w:r>
        <w:rPr>
          <w:rFonts w:hint="eastAsia" w:eastAsia="宋体"/>
          <w:lang w:eastAsia="zh-CN"/>
        </w:rPr>
        <w:t>保理业务具备多种还款来源的优势。其第一还款来源为买方，这意味着买方直接向保理商支付应收账款，确保了资金流动性。第二还款来源是保险公司或卖方，即在买方违约的情况下，保险公司或卖方可以承担一定程度的</w:t>
      </w:r>
      <w:bookmarkStart w:id="9" w:name="_GoBack"/>
      <w:bookmarkEnd w:id="9"/>
      <w:r>
        <w:rPr>
          <w:rFonts w:hint="eastAsia" w:eastAsia="宋体"/>
          <w:lang w:eastAsia="zh-CN"/>
        </w:rPr>
        <w:t>偿付责任，为保理商提供风险保障。此外，如果适用，担保人可以作为第三还款来源，进一步增强了还款保障体系。</w:t>
      </w:r>
    </w:p>
    <w:p>
      <w:pPr>
        <w:tabs>
          <w:tab w:val="left" w:pos="7920"/>
        </w:tabs>
        <w:spacing w:line="360" w:lineRule="auto"/>
        <w:ind w:firstLine="420" w:firstLineChars="200"/>
        <w:rPr>
          <w:rFonts w:hint="eastAsia" w:eastAsia="宋体"/>
          <w:lang w:eastAsia="zh-CN"/>
        </w:rPr>
      </w:pPr>
    </w:p>
    <w:p>
      <w:pPr>
        <w:tabs>
          <w:tab w:val="left" w:pos="7920"/>
        </w:tabs>
        <w:spacing w:line="360" w:lineRule="auto"/>
        <w:ind w:firstLine="420" w:firstLineChars="200"/>
        <w:rPr>
          <w:rFonts w:hint="eastAsia" w:eastAsia="宋体"/>
          <w:lang w:eastAsia="zh-CN"/>
        </w:rPr>
      </w:pPr>
      <w:r>
        <w:rPr>
          <w:rFonts w:hint="eastAsia" w:eastAsia="宋体"/>
          <w:lang w:eastAsia="zh-CN"/>
        </w:rPr>
        <w:t>在保理业务中，风险控制机制多层次而严密。定期对卖方进行信贷评估，有助于及时了解其信用状况和偿还能力。同时，保险公司对买方的信用风险承担起重要角色，减轻了保理商在买方违约时的损失。根据保理协议，客户将其应收账款全部转让给银行，银行获得直接向保理买家收款的权利，从而全面掌握现金流。这为银行提供了有效的监控和控制手段，有助于及早发现潜在风险。</w:t>
      </w:r>
    </w:p>
    <w:p>
      <w:pPr>
        <w:tabs>
          <w:tab w:val="left" w:pos="7920"/>
        </w:tabs>
        <w:spacing w:line="360" w:lineRule="auto"/>
        <w:ind w:firstLine="420" w:firstLineChars="200"/>
        <w:rPr>
          <w:rFonts w:hint="eastAsia" w:eastAsia="宋体"/>
          <w:lang w:eastAsia="zh-CN"/>
        </w:rPr>
      </w:pPr>
      <w:r>
        <w:rPr>
          <w:rFonts w:hint="eastAsia" w:eastAsia="宋体"/>
          <w:lang w:eastAsia="zh-CN"/>
        </w:rPr>
        <w:t>然而，相对于保理，托收模式在风险方面存在明显差异。托收模式中，出口方的收款完全依赖于买方的付款意愿和信用状况，缺乏更为全面的风险保障措施。这意味着如果买方不支付款项，出口方难以得到补偿，并且无法将货运单据退回。这种风险由出口方自行承担，因此需要谨慎评估与选择。</w:t>
      </w:r>
    </w:p>
    <w:p>
      <w:pPr>
        <w:tabs>
          <w:tab w:val="left" w:pos="7920"/>
        </w:tabs>
        <w:spacing w:line="360" w:lineRule="auto"/>
        <w:ind w:firstLine="420" w:firstLineChars="200"/>
        <w:rPr>
          <w:rFonts w:hint="eastAsia" w:eastAsia="宋体"/>
          <w:lang w:eastAsia="zh-CN"/>
        </w:rPr>
      </w:pPr>
      <w:r>
        <w:rPr>
          <w:rFonts w:hint="eastAsia" w:eastAsia="宋体"/>
          <w:lang w:eastAsia="zh-CN"/>
        </w:rPr>
        <w:t>另一方面，发票融资为企业提供了资金支持，但也涉及风险。在发票融资中，虽然境内销货方可以通过发票融资获得资金，但这种融资额度往往受限于发票实有金额的一定比例。这也意味着，相对于保理业务，发票融资的融资额度可能较为有限。此外，与保理不同，发票融资并不涉及应收账款的转让，因此在实际操作中需要更加谨慎地评估合作双方的信用状况和合作前景。</w:t>
      </w:r>
    </w:p>
    <w:p>
      <w:pPr>
        <w:tabs>
          <w:tab w:val="left" w:pos="7920"/>
        </w:tabs>
        <w:spacing w:line="360" w:lineRule="auto"/>
        <w:ind w:firstLine="420" w:firstLineChars="200"/>
        <w:rPr>
          <w:rFonts w:hint="eastAsia" w:eastAsia="宋体"/>
          <w:lang w:eastAsia="zh-CN"/>
        </w:rPr>
      </w:pPr>
      <w:r>
        <w:rPr>
          <w:rFonts w:hint="eastAsia" w:eastAsia="宋体"/>
          <w:lang w:eastAsia="zh-CN"/>
        </w:rPr>
        <w:t>保理业务通过多种还款来源和多层次的风险控制机制，为企业提供了更为稳健和全面的融资和风险管理方案，相对于托收和发票融资，其优势更为突出。在选择合适的商业融资方式时，企业应考虑到各种因素，并根据实际需求做出明智的决策。</w:t>
      </w:r>
    </w:p>
    <w:p>
      <w:pPr>
        <w:tabs>
          <w:tab w:val="left" w:pos="7920"/>
        </w:tabs>
        <w:spacing w:line="360" w:lineRule="auto"/>
        <w:ind w:firstLine="420" w:firstLineChars="200"/>
        <w:rPr>
          <w:rFonts w:hint="eastAsia" w:eastAsia="宋体"/>
          <w:lang w:eastAsia="zh-CN"/>
        </w:rPr>
      </w:pPr>
    </w:p>
    <w:p>
      <w:pPr>
        <w:tabs>
          <w:tab w:val="left" w:pos="7920"/>
        </w:tabs>
        <w:spacing w:line="360" w:lineRule="auto"/>
        <w:ind w:firstLine="420" w:firstLineChars="200"/>
        <w:jc w:val="center"/>
        <w:rPr>
          <w:rFonts w:hint="eastAsia" w:eastAsia="宋体"/>
          <w:lang w:eastAsia="zh-CN"/>
        </w:rPr>
      </w:pPr>
      <w:r>
        <w:rPr>
          <w:rFonts w:hint="eastAsia" w:eastAsia="宋体"/>
          <w:lang w:eastAsia="zh-CN"/>
        </w:rPr>
        <w:drawing>
          <wp:inline distT="0" distB="0" distL="0" distR="0">
            <wp:extent cx="3882390" cy="2016125"/>
            <wp:effectExtent l="0" t="0" r="3810" b="2540"/>
            <wp:docPr id="1029" name="图片 5" descr="未命名文件(8)"/>
            <wp:cNvGraphicFramePr/>
            <a:graphic xmlns:a="http://schemas.openxmlformats.org/drawingml/2006/main">
              <a:graphicData uri="http://schemas.openxmlformats.org/drawingml/2006/picture">
                <pic:pic xmlns:pic="http://schemas.openxmlformats.org/drawingml/2006/picture">
                  <pic:nvPicPr>
                    <pic:cNvPr id="1029" name="图片 5" descr="未命名文件(8)"/>
                    <pic:cNvPicPr/>
                  </pic:nvPicPr>
                  <pic:blipFill>
                    <a:blip r:embed="rId8" cstate="print"/>
                    <a:srcRect/>
                    <a:stretch>
                      <a:fillRect/>
                    </a:stretch>
                  </pic:blipFill>
                  <pic:spPr>
                    <a:xfrm>
                      <a:off x="0" y="0"/>
                      <a:ext cx="3882390" cy="2016125"/>
                    </a:xfrm>
                    <a:prstGeom prst="rect">
                      <a:avLst/>
                    </a:prstGeom>
                  </pic:spPr>
                </pic:pic>
              </a:graphicData>
            </a:graphic>
          </wp:inline>
        </w:drawing>
      </w:r>
    </w:p>
    <w:p>
      <w:pPr>
        <w:tabs>
          <w:tab w:val="left" w:pos="7920"/>
        </w:tabs>
        <w:spacing w:line="360" w:lineRule="auto"/>
        <w:ind w:firstLine="437"/>
        <w:jc w:val="center"/>
        <w:rPr>
          <w:rFonts w:hint="eastAsia"/>
          <w:lang w:val="en-US" w:eastAsia="zh-CN"/>
        </w:rPr>
      </w:pPr>
      <w:r>
        <w:rPr>
          <w:rFonts w:hint="eastAsia"/>
          <w:lang w:val="en-US" w:eastAsia="zh-CN"/>
        </w:rPr>
        <w:t>图2-1 保理与卖方发票融资和托收的风险收益曲线</w:t>
      </w:r>
    </w:p>
    <w:p>
      <w:pPr>
        <w:pStyle w:val="3"/>
        <w:rPr>
          <w:rFonts w:hint="eastAsia"/>
          <w:lang w:val="en-US" w:eastAsia="zh-CN"/>
        </w:rPr>
      </w:pPr>
      <w:r>
        <w:rPr>
          <w:rFonts w:hint="eastAsia"/>
        </w:rPr>
        <w:t>1.</w:t>
      </w:r>
      <w:r>
        <w:rPr>
          <w:rFonts w:hint="eastAsia"/>
          <w:lang w:val="en-US" w:eastAsia="zh-CN"/>
        </w:rPr>
        <w:t>3</w:t>
      </w:r>
      <w:r>
        <w:rPr>
          <w:rFonts w:hint="eastAsia"/>
        </w:rPr>
        <w:t xml:space="preserve"> </w:t>
      </w:r>
      <w:r>
        <w:rPr>
          <w:rFonts w:hint="eastAsia"/>
          <w:lang w:val="en-US" w:eastAsia="zh-CN"/>
        </w:rPr>
        <w:t>保理业务的主要风险</w:t>
      </w:r>
    </w:p>
    <w:p>
      <w:pPr>
        <w:tabs>
          <w:tab w:val="left" w:pos="7920"/>
        </w:tabs>
        <w:spacing w:line="360" w:lineRule="auto"/>
        <w:ind w:firstLine="437"/>
        <w:rPr>
          <w:rFonts w:hint="default"/>
        </w:rPr>
      </w:pPr>
      <w:r>
        <w:rPr>
          <w:rFonts w:hint="default"/>
        </w:rPr>
        <w:t>保理业务在其运作过程中面临多种主要风险，这些风险直接影响着交易的稳定性和银行的业务风险。以下是对这些风险的深入分析：</w:t>
      </w:r>
    </w:p>
    <w:p>
      <w:pPr>
        <w:tabs>
          <w:tab w:val="left" w:pos="7920"/>
        </w:tabs>
        <w:spacing w:line="360" w:lineRule="auto"/>
        <w:ind w:firstLine="437"/>
        <w:rPr>
          <w:rFonts w:hint="default"/>
        </w:rPr>
      </w:pPr>
      <w:r>
        <w:rPr>
          <w:rFonts w:hint="default"/>
        </w:rPr>
        <w:t>借款人信用风险： 这是保理业务中最为重要的风险之一。借款人的信用状况可能出现恶化或违约，导致无法按时偿还债务。这种情况可能受多种因素影响，如宏观经济变化、行业问题等。为应对这一风险，银行需要建立强大的信用评估体系，定期监测借款人的信用状况，以及及时调整风险防范策略。</w:t>
      </w:r>
    </w:p>
    <w:p>
      <w:pPr>
        <w:tabs>
          <w:tab w:val="left" w:pos="7920"/>
        </w:tabs>
        <w:spacing w:line="360" w:lineRule="auto"/>
        <w:ind w:firstLine="437"/>
        <w:rPr>
          <w:rFonts w:hint="default"/>
        </w:rPr>
      </w:pPr>
      <w:r>
        <w:rPr>
          <w:rFonts w:hint="default"/>
        </w:rPr>
        <w:t>买方破产风险： 如果买方破产，保理商可能会面临无法收回应收账款的情况。这种情况可能是由市场波动、经济衰退等因素引起的。商业银行需要制定应对策略，如建立多元化的买方组合，以减少单一买方破产对业务的影响。</w:t>
      </w:r>
    </w:p>
    <w:p>
      <w:pPr>
        <w:tabs>
          <w:tab w:val="left" w:pos="7920"/>
        </w:tabs>
        <w:spacing w:line="360" w:lineRule="auto"/>
        <w:ind w:firstLine="437"/>
        <w:rPr>
          <w:rFonts w:hint="default"/>
        </w:rPr>
      </w:pPr>
      <w:r>
        <w:rPr>
          <w:rFonts w:hint="default"/>
        </w:rPr>
        <w:t>欺诈和虚假交易： 虚假交易和欺诈行为可能会对保理业务造成严重影响。商业银行需要采取措施确保交易的真实性，通过严格的尽职调查和审核，减少虚假交易和欺诈的风险。</w:t>
      </w:r>
    </w:p>
    <w:p>
      <w:pPr>
        <w:tabs>
          <w:tab w:val="left" w:pos="7920"/>
        </w:tabs>
        <w:spacing w:line="360" w:lineRule="auto"/>
        <w:ind w:firstLine="437"/>
        <w:rPr>
          <w:rFonts w:hint="default"/>
        </w:rPr>
      </w:pPr>
      <w:r>
        <w:rPr>
          <w:rFonts w:hint="default"/>
        </w:rPr>
        <w:t>应收账款质量与合规性： 应收账款的质量和合规性直接影响保理业务的可靠性。商业银行需要确保应收账款的真实性和有效性，以及避免违规行为，建立合同保障和合规约束。</w:t>
      </w:r>
    </w:p>
    <w:p>
      <w:pPr>
        <w:tabs>
          <w:tab w:val="left" w:pos="7920"/>
        </w:tabs>
        <w:spacing w:line="360" w:lineRule="auto"/>
        <w:ind w:firstLine="437"/>
        <w:rPr>
          <w:rFonts w:hint="default"/>
        </w:rPr>
      </w:pPr>
      <w:r>
        <w:rPr>
          <w:rFonts w:hint="default"/>
        </w:rPr>
        <w:t>重复融资风险与合规： 重复融资可能导致超额融资，增加风险暴露。银行需要确保每笔交易的资金用途合规，防止重复融资和资金滥用。</w:t>
      </w:r>
    </w:p>
    <w:p>
      <w:pPr>
        <w:tabs>
          <w:tab w:val="left" w:pos="7920"/>
        </w:tabs>
        <w:spacing w:line="360" w:lineRule="auto"/>
        <w:ind w:firstLine="437"/>
        <w:rPr>
          <w:rFonts w:hint="default"/>
        </w:rPr>
      </w:pPr>
      <w:r>
        <w:rPr>
          <w:rFonts w:hint="default"/>
        </w:rPr>
        <w:t>风险管理体系与协作： 为有效应对上述风险，银行需要建立全面的风险管理体系。这需要各个团队部门的密切合作，如风险管理团队、客户经理、产品团队等，共同致力于风险识别、监测和应对。</w:t>
      </w:r>
    </w:p>
    <w:p>
      <w:pPr>
        <w:tabs>
          <w:tab w:val="left" w:pos="7920"/>
        </w:tabs>
        <w:spacing w:line="360" w:lineRule="auto"/>
        <w:ind w:firstLine="437"/>
        <w:rPr>
          <w:rFonts w:hint="default"/>
        </w:rPr>
      </w:pPr>
      <w:r>
        <w:rPr>
          <w:rFonts w:hint="default"/>
        </w:rPr>
        <w:t>市场和法律环境变化： 保理业务的风险也会受市场和法律环境的变化影响。银行需要密切关注市场趋势和法规变化，及时调整风险管理策略，以确保业务的合规性和稳定性。</w:t>
      </w:r>
    </w:p>
    <w:p>
      <w:pPr>
        <w:tabs>
          <w:tab w:val="left" w:pos="7920"/>
        </w:tabs>
        <w:spacing w:line="360" w:lineRule="auto"/>
        <w:ind w:firstLine="437"/>
        <w:rPr>
          <w:rFonts w:hint="eastAsia"/>
        </w:rPr>
      </w:pPr>
      <w:r>
        <w:rPr>
          <w:rFonts w:hint="default"/>
        </w:rPr>
        <w:t>综合而言，深入分析保理业务的主要风险对于银行实施有效的风险管理至关重要。只有深刻理解这些风险的本质、来源和影响，银行才能制定出合适的应对策略，确保保理业务的可持续发展和稳健运作。</w:t>
      </w:r>
    </w:p>
    <w:p>
      <w:pPr>
        <w:pStyle w:val="2"/>
        <w:numPr>
          <w:ilvl w:val="0"/>
          <w:numId w:val="1"/>
        </w:numPr>
        <w:rPr>
          <w:rFonts w:hint="default"/>
          <w:lang w:val="en-US" w:eastAsia="zh-CN"/>
        </w:rPr>
      </w:pPr>
      <w:r>
        <w:rPr>
          <w:rFonts w:hint="eastAsia"/>
          <w:lang w:val="en-US" w:eastAsia="zh-CN"/>
        </w:rPr>
        <w:t>保理业务的贷前贷中贷后流程</w:t>
      </w:r>
    </w:p>
    <w:p>
      <w:pPr>
        <w:pStyle w:val="3"/>
        <w:rPr>
          <w:rFonts w:hint="default" w:eastAsia="宋体"/>
          <w:lang w:val="en-US" w:eastAsia="zh-CN"/>
        </w:rPr>
      </w:pPr>
      <w:bookmarkStart w:id="3" w:name="_Toc382496260"/>
      <w:r>
        <w:rPr>
          <w:rFonts w:hint="eastAsia"/>
        </w:rPr>
        <w:t xml:space="preserve">2.1 </w:t>
      </w:r>
      <w:bookmarkEnd w:id="3"/>
      <w:r>
        <w:rPr>
          <w:rFonts w:hint="eastAsia"/>
          <w:lang w:val="en-US" w:eastAsia="zh-CN"/>
        </w:rPr>
        <w:t>贷前调查</w:t>
      </w:r>
    </w:p>
    <w:p>
      <w:pPr>
        <w:tabs>
          <w:tab w:val="left" w:pos="7920"/>
        </w:tabs>
        <w:spacing w:line="360" w:lineRule="auto"/>
        <w:ind w:firstLine="420" w:firstLineChars="200"/>
        <w:rPr>
          <w:rFonts w:hint="eastAsia"/>
          <w:lang w:val="en-US" w:eastAsia="zh-CN"/>
        </w:rPr>
      </w:pPr>
      <w:r>
        <w:rPr>
          <w:rFonts w:hint="eastAsia"/>
          <w:lang w:val="en-US" w:eastAsia="zh-CN"/>
        </w:rPr>
        <w:t>保理业务的贷前调查是确保交易安全和合规性的关键环节，它涵盖了多个层面，从接触客户开始，逐步深入了解交易背景并制定融资方案，直至最终的授信审批和答疑阶段。以下是对贷前调查各环节的详细分析：</w:t>
      </w:r>
    </w:p>
    <w:p>
      <w:pPr>
        <w:tabs>
          <w:tab w:val="left" w:pos="7920"/>
        </w:tabs>
        <w:spacing w:line="360" w:lineRule="auto"/>
        <w:ind w:firstLine="420" w:firstLineChars="200"/>
        <w:rPr>
          <w:rFonts w:hint="eastAsia"/>
          <w:lang w:val="en-US" w:eastAsia="zh-CN"/>
        </w:rPr>
      </w:pPr>
      <w:r>
        <w:rPr>
          <w:rFonts w:hint="eastAsia"/>
          <w:lang w:val="en-US" w:eastAsia="zh-CN"/>
        </w:rPr>
        <w:t>接洽客户与初步审核： 贷前调查从与客户接洽开始，了解交易的基本情况。初步审核涉及贸易文件和保单的初步审核，以确保合同条款是否允许转让，并核查可接受的保险公司的最高赔偿限额。</w:t>
      </w:r>
    </w:p>
    <w:p>
      <w:pPr>
        <w:tabs>
          <w:tab w:val="left" w:pos="7920"/>
        </w:tabs>
        <w:spacing w:line="360" w:lineRule="auto"/>
        <w:ind w:firstLine="420" w:firstLineChars="200"/>
        <w:rPr>
          <w:rFonts w:hint="eastAsia"/>
          <w:lang w:val="en-US" w:eastAsia="zh-CN"/>
        </w:rPr>
      </w:pPr>
      <w:r>
        <w:rPr>
          <w:rFonts w:hint="eastAsia"/>
          <w:lang w:val="en-US" w:eastAsia="zh-CN"/>
        </w:rPr>
        <w:t>信用保险安排确认： 对于涉及信用保险的交易，需要确定信用保险安排，包括选择银行保单或企业保单，确认保险公司和最高赔偿限额。</w:t>
      </w:r>
    </w:p>
    <w:p>
      <w:pPr>
        <w:tabs>
          <w:tab w:val="left" w:pos="7920"/>
        </w:tabs>
        <w:spacing w:line="360" w:lineRule="auto"/>
        <w:ind w:firstLine="420" w:firstLineChars="200"/>
        <w:rPr>
          <w:rFonts w:hint="eastAsia"/>
          <w:lang w:val="en-US" w:eastAsia="zh-CN"/>
        </w:rPr>
      </w:pPr>
      <w:r>
        <w:rPr>
          <w:rFonts w:hint="eastAsia"/>
          <w:lang w:val="en-US" w:eastAsia="zh-CN"/>
        </w:rPr>
        <w:t>客户交易情况了解：了解客户的交易情况，确定拟操作的保理买家名单，以及相关的保单信用限额、应收账款余额、买家集中度、历史交易等信息。</w:t>
      </w:r>
    </w:p>
    <w:p>
      <w:pPr>
        <w:tabs>
          <w:tab w:val="left" w:pos="7920"/>
        </w:tabs>
        <w:spacing w:line="360" w:lineRule="auto"/>
        <w:ind w:firstLine="420" w:firstLineChars="200"/>
        <w:rPr>
          <w:rFonts w:hint="eastAsia"/>
          <w:lang w:val="en-US" w:eastAsia="zh-CN"/>
        </w:rPr>
      </w:pPr>
      <w:r>
        <w:rPr>
          <w:rFonts w:hint="eastAsia"/>
          <w:lang w:val="en-US" w:eastAsia="zh-CN"/>
        </w:rPr>
        <w:t>初步保理融资方案确定： 根据了解的交易情况，初步确定保理融资方案，为后续的保理调查提供准备。</w:t>
      </w:r>
    </w:p>
    <w:p>
      <w:pPr>
        <w:tabs>
          <w:tab w:val="left" w:pos="7920"/>
        </w:tabs>
        <w:spacing w:line="360" w:lineRule="auto"/>
        <w:ind w:firstLine="420" w:firstLineChars="200"/>
        <w:rPr>
          <w:rFonts w:hint="eastAsia"/>
          <w:lang w:val="en-US" w:eastAsia="zh-CN"/>
        </w:rPr>
      </w:pPr>
      <w:r>
        <w:rPr>
          <w:rFonts w:hint="eastAsia"/>
          <w:lang w:val="en-US" w:eastAsia="zh-CN"/>
        </w:rPr>
        <w:t>保理调查与独立报告： 后台团队的保理调查专员会亲临借款人的工作场所，审核过去一年的原始贸易单据原件，并生成独立的第二方报告。这个报告重点审查借款人的历史交易，包括信用保险保单、合同、货运单据、发票销售分类账、付款记录等原始资料。</w:t>
      </w:r>
    </w:p>
    <w:p>
      <w:pPr>
        <w:tabs>
          <w:tab w:val="left" w:pos="7920"/>
        </w:tabs>
        <w:spacing w:line="360" w:lineRule="auto"/>
        <w:ind w:firstLine="420" w:firstLineChars="200"/>
        <w:rPr>
          <w:rFonts w:hint="eastAsia"/>
          <w:lang w:val="en-US" w:eastAsia="zh-CN"/>
        </w:rPr>
      </w:pPr>
      <w:r>
        <w:rPr>
          <w:rFonts w:hint="eastAsia"/>
          <w:lang w:val="en-US" w:eastAsia="zh-CN"/>
        </w:rPr>
        <w:t>保理调查意见与风险管理： 保理调查报告的意见将评估应收账款转让的可操作性，同时揭示客户历史交易模式和潜在风险。风险管理部门会根据调查结果与客户沟通操作问题并提出改进意见，以确保交易的合规性和安全性。</w:t>
      </w:r>
    </w:p>
    <w:p>
      <w:pPr>
        <w:tabs>
          <w:tab w:val="left" w:pos="7920"/>
        </w:tabs>
        <w:spacing w:line="360" w:lineRule="auto"/>
        <w:ind w:firstLine="420" w:firstLineChars="200"/>
        <w:rPr>
          <w:rFonts w:hint="eastAsia"/>
          <w:lang w:val="en-US" w:eastAsia="zh-CN"/>
        </w:rPr>
      </w:pPr>
      <w:r>
        <w:rPr>
          <w:rFonts w:hint="eastAsia"/>
          <w:lang w:val="en-US" w:eastAsia="zh-CN"/>
        </w:rPr>
        <w:t>授信审批和准备融资资料： 一旦授信额度建立，风险管理部门会联系客户，提示他们按照约定的授信审批条件准备融资资料。如果需要，风险管理部门可以提供单据预审，以确保文件的完整性和合规性。</w:t>
      </w:r>
    </w:p>
    <w:p>
      <w:pPr>
        <w:tabs>
          <w:tab w:val="left" w:pos="7920"/>
        </w:tabs>
        <w:spacing w:line="360" w:lineRule="auto"/>
        <w:ind w:firstLine="420" w:firstLineChars="200"/>
        <w:rPr>
          <w:rFonts w:hint="eastAsia"/>
          <w:lang w:val="en-US" w:eastAsia="zh-CN"/>
        </w:rPr>
      </w:pPr>
      <w:r>
        <w:rPr>
          <w:rFonts w:hint="eastAsia"/>
          <w:lang w:val="en-US" w:eastAsia="zh-CN"/>
        </w:rPr>
        <w:t>第一次提款和债务确认： 对于新客户的第一次提款，风险管理部门会在放款前与买方联系，进行债务确认，以确保交易的可靠性。</w:t>
      </w:r>
    </w:p>
    <w:p>
      <w:pPr>
        <w:tabs>
          <w:tab w:val="left" w:pos="7920"/>
        </w:tabs>
        <w:spacing w:line="360" w:lineRule="auto"/>
        <w:ind w:firstLine="420" w:firstLineChars="200"/>
        <w:rPr>
          <w:rFonts w:hint="eastAsia"/>
          <w:lang w:val="en-US" w:eastAsia="zh-CN"/>
        </w:rPr>
      </w:pPr>
    </w:p>
    <w:p>
      <w:pPr>
        <w:pStyle w:val="3"/>
        <w:rPr>
          <w:rFonts w:hint="eastAsia"/>
          <w:lang w:val="en-US" w:eastAsia="zh-CN"/>
        </w:rPr>
      </w:pPr>
      <w:bookmarkStart w:id="4" w:name="_Toc382496261"/>
      <w:r>
        <w:rPr>
          <w:rFonts w:hint="eastAsia"/>
        </w:rPr>
        <w:t xml:space="preserve">2.2 </w:t>
      </w:r>
      <w:bookmarkEnd w:id="4"/>
      <w:r>
        <w:rPr>
          <w:rFonts w:hint="eastAsia"/>
          <w:lang w:val="en-US" w:eastAsia="zh-CN"/>
        </w:rPr>
        <w:t>贷中审核</w:t>
      </w:r>
    </w:p>
    <w:p>
      <w:pPr>
        <w:tabs>
          <w:tab w:val="left" w:pos="7920"/>
        </w:tabs>
        <w:spacing w:line="360" w:lineRule="auto"/>
        <w:ind w:firstLine="420" w:firstLineChars="200"/>
        <w:rPr>
          <w:rFonts w:hint="eastAsia"/>
          <w:lang w:val="en-US" w:eastAsia="zh-CN"/>
        </w:rPr>
      </w:pPr>
      <w:r>
        <w:rPr>
          <w:rFonts w:hint="eastAsia"/>
          <w:lang w:val="en-US" w:eastAsia="zh-CN"/>
        </w:rPr>
        <w:t>贷中审核是保理业务的重要环节，它确保了交易在贷款过程中的真实性、合规性和顺利进行。以下是对贷中审核内容的详细分析：</w:t>
      </w:r>
    </w:p>
    <w:p>
      <w:pPr>
        <w:tabs>
          <w:tab w:val="left" w:pos="7920"/>
        </w:tabs>
        <w:spacing w:line="360" w:lineRule="auto"/>
        <w:ind w:firstLine="420" w:firstLineChars="200"/>
        <w:rPr>
          <w:rFonts w:hint="eastAsia"/>
          <w:lang w:val="en-US" w:eastAsia="zh-CN"/>
        </w:rPr>
      </w:pPr>
      <w:r>
        <w:rPr>
          <w:rFonts w:hint="eastAsia"/>
          <w:lang w:val="en-US" w:eastAsia="zh-CN"/>
        </w:rPr>
        <w:t>应收账款转让的签署与通知： 在应收账款转让过程中，需要逐次签署应收账款转让函和转让通知，同时通知债务人有关转让的事宜，以明确债权债务关系的变化。</w:t>
      </w:r>
    </w:p>
    <w:p>
      <w:pPr>
        <w:tabs>
          <w:tab w:val="left" w:pos="7920"/>
        </w:tabs>
        <w:spacing w:line="360" w:lineRule="auto"/>
        <w:ind w:firstLine="420" w:firstLineChars="200"/>
        <w:rPr>
          <w:rFonts w:hint="eastAsia"/>
          <w:lang w:val="en-US" w:eastAsia="zh-CN"/>
        </w:rPr>
      </w:pPr>
      <w:r>
        <w:rPr>
          <w:rFonts w:hint="eastAsia"/>
          <w:lang w:val="en-US" w:eastAsia="zh-CN"/>
        </w:rPr>
        <w:t>贸易真实性审核： 对贸易真实性的审核是确保交易的合法性和真实性的关键环节。在出口保理交易中，需要通过客户提交的货物出口报关单、海运提单等运输单据，以及通过国际海事局查询提单真实性，核实货物的出口情况。在国内保理交易中，需要严格审核正本增值税发票的票面内容及一致性，逐张发票通过税务局网站进行查验，以确保发票的真实性和合规性。</w:t>
      </w:r>
    </w:p>
    <w:p>
      <w:pPr>
        <w:tabs>
          <w:tab w:val="left" w:pos="7920"/>
        </w:tabs>
        <w:spacing w:line="360" w:lineRule="auto"/>
        <w:ind w:firstLine="420" w:firstLineChars="200"/>
        <w:rPr>
          <w:rFonts w:hint="eastAsia"/>
        </w:rPr>
      </w:pPr>
    </w:p>
    <w:p>
      <w:pPr>
        <w:pStyle w:val="3"/>
        <w:rPr>
          <w:rFonts w:hint="default"/>
          <w:lang w:val="en-US"/>
        </w:rPr>
      </w:pPr>
      <w:bookmarkStart w:id="5" w:name="_Toc382496262"/>
      <w:r>
        <w:rPr>
          <w:rFonts w:hint="eastAsia"/>
        </w:rPr>
        <w:t xml:space="preserve">2.3 </w:t>
      </w:r>
      <w:bookmarkEnd w:id="5"/>
      <w:r>
        <w:rPr>
          <w:rFonts w:hint="eastAsia"/>
          <w:lang w:val="en-US" w:eastAsia="zh-CN"/>
        </w:rPr>
        <w:t>贷后监控</w:t>
      </w:r>
    </w:p>
    <w:p>
      <w:pPr>
        <w:tabs>
          <w:tab w:val="left" w:pos="7920"/>
        </w:tabs>
        <w:spacing w:line="360" w:lineRule="auto"/>
        <w:ind w:firstLine="420" w:firstLineChars="200"/>
        <w:rPr>
          <w:rFonts w:hint="eastAsia"/>
          <w:lang w:val="en-US" w:eastAsia="zh-CN"/>
        </w:rPr>
      </w:pPr>
      <w:r>
        <w:rPr>
          <w:rFonts w:hint="eastAsia"/>
          <w:lang w:val="en-US" w:eastAsia="zh-CN"/>
        </w:rPr>
        <w:t>贷后监控是保理业务中的关键环节，它确保了交易的正常进行并及时发现异常情况。以下是对贷后监控程序的详细解析：</w:t>
      </w:r>
    </w:p>
    <w:p>
      <w:pPr>
        <w:tabs>
          <w:tab w:val="left" w:pos="7920"/>
        </w:tabs>
        <w:spacing w:line="360" w:lineRule="auto"/>
        <w:ind w:firstLine="420" w:firstLineChars="200"/>
        <w:rPr>
          <w:rFonts w:hint="eastAsia"/>
          <w:lang w:val="en-US" w:eastAsia="zh-CN"/>
        </w:rPr>
      </w:pPr>
      <w:r>
        <w:rPr>
          <w:rFonts w:hint="eastAsia"/>
          <w:lang w:val="en-US" w:eastAsia="zh-CN"/>
        </w:rPr>
        <w:t>应收账款管理： 这一步骤包括完成应收账款转让通知单，监控买家集中风险，并进行客户和买家的月度对账。通过及时监控应收账款的变化和交易情况，可以减少潜在的风险和问题。</w:t>
      </w:r>
    </w:p>
    <w:p>
      <w:pPr>
        <w:tabs>
          <w:tab w:val="left" w:pos="7920"/>
        </w:tabs>
        <w:spacing w:line="360" w:lineRule="auto"/>
        <w:ind w:firstLine="420" w:firstLineChars="200"/>
        <w:rPr>
          <w:rFonts w:hint="eastAsia"/>
          <w:lang w:val="en-US" w:eastAsia="zh-CN"/>
        </w:rPr>
      </w:pPr>
      <w:r>
        <w:rPr>
          <w:rFonts w:hint="eastAsia"/>
          <w:lang w:val="en-US" w:eastAsia="zh-CN"/>
        </w:rPr>
        <w:t>设置发票悬挂限额： 基于买家的历史交易情况，为每个买家设置单张发票金额的上限，以防止异常情况。如果发票金额超过限额，系统将触发债务确认流程，确保交易的真实性和合规性。</w:t>
      </w:r>
    </w:p>
    <w:p>
      <w:pPr>
        <w:tabs>
          <w:tab w:val="left" w:pos="7920"/>
        </w:tabs>
        <w:spacing w:line="360" w:lineRule="auto"/>
        <w:ind w:firstLine="420" w:firstLineChars="200"/>
        <w:rPr>
          <w:rFonts w:hint="eastAsia"/>
          <w:lang w:val="en-US" w:eastAsia="zh-CN"/>
        </w:rPr>
      </w:pPr>
      <w:r>
        <w:rPr>
          <w:rFonts w:hint="eastAsia"/>
          <w:lang w:val="en-US" w:eastAsia="zh-CN"/>
        </w:rPr>
        <w:t>回款监控： 监控回款情况，如出现异常，会触发“红旗”标志。异常情况包括大额冲销/抵扣、非保理回款的第三方付款、超额的直接支付等，这些情况可能暗示着交易异常。</w:t>
      </w:r>
    </w:p>
    <w:p>
      <w:pPr>
        <w:tabs>
          <w:tab w:val="left" w:pos="7920"/>
        </w:tabs>
        <w:spacing w:line="360" w:lineRule="auto"/>
        <w:ind w:firstLine="420" w:firstLineChars="200"/>
        <w:rPr>
          <w:rFonts w:hint="eastAsia"/>
          <w:lang w:val="en-US" w:eastAsia="zh-CN"/>
        </w:rPr>
      </w:pPr>
      <w:r>
        <w:rPr>
          <w:rFonts w:hint="eastAsia"/>
          <w:lang w:val="en-US" w:eastAsia="zh-CN"/>
        </w:rPr>
        <w:t>应收账款逾期催收：针对逾期应收账款，根据逾期时间，风险管理部门将向买家发送不同阶段的催收信。逾期时间不同，可能会触发不同的操作，如暂停该买家项下融资，或根据保单规定发起保险索赔流程。</w:t>
      </w:r>
    </w:p>
    <w:p>
      <w:pPr>
        <w:tabs>
          <w:tab w:val="left" w:pos="7920"/>
        </w:tabs>
        <w:spacing w:line="360" w:lineRule="auto"/>
        <w:ind w:firstLine="420" w:firstLineChars="200"/>
        <w:rPr>
          <w:rFonts w:hint="eastAsia"/>
          <w:lang w:val="en-US" w:eastAsia="zh-CN"/>
        </w:rPr>
      </w:pPr>
    </w:p>
    <w:p>
      <w:pPr>
        <w:tabs>
          <w:tab w:val="left" w:pos="7920"/>
        </w:tabs>
        <w:spacing w:line="360" w:lineRule="auto"/>
        <w:ind w:firstLine="420" w:firstLineChars="200"/>
        <w:rPr>
          <w:rFonts w:hint="eastAsia"/>
          <w:lang w:val="en-US" w:eastAsia="zh-CN"/>
        </w:rPr>
      </w:pPr>
      <w:r>
        <w:rPr>
          <w:rFonts w:hint="eastAsia"/>
          <w:lang w:val="en-US" w:eastAsia="zh-CN"/>
        </w:rPr>
        <w:t>贸易真实性确认：在买家月结单寄出后，通过电子邮件与买家联系，进行对账和债务确认。这个步骤特别适用于新买家和高风险交易，以确保交易的真实性和合规性。</w:t>
      </w:r>
    </w:p>
    <w:p>
      <w:pPr>
        <w:tabs>
          <w:tab w:val="left" w:pos="7920"/>
        </w:tabs>
        <w:spacing w:line="360" w:lineRule="auto"/>
        <w:ind w:firstLine="420" w:firstLineChars="200"/>
        <w:rPr>
          <w:rFonts w:hint="eastAsia"/>
        </w:rPr>
      </w:pPr>
      <w:r>
        <w:rPr>
          <w:rFonts w:hint="eastAsia"/>
          <w:lang w:val="en-US" w:eastAsia="zh-CN"/>
        </w:rPr>
        <w:t>通过这些贷后监控程序，保理机构能够及时发现和处理交易中的问题，保障交易的正常进行，同时降低了潜在的风险和损失。这种严密的监控是保理业务成功运作的关键。</w:t>
      </w:r>
    </w:p>
    <w:p>
      <w:pPr>
        <w:pStyle w:val="2"/>
        <w:rPr>
          <w:rFonts w:hint="default" w:eastAsia="宋体"/>
          <w:lang w:val="en-US" w:eastAsia="zh-CN"/>
        </w:rPr>
      </w:pPr>
      <w:bookmarkStart w:id="6" w:name="_Toc382496266"/>
      <w:r>
        <w:rPr>
          <w:rFonts w:hint="eastAsia"/>
        </w:rPr>
        <w:t>三、</w:t>
      </w:r>
      <w:bookmarkEnd w:id="6"/>
      <w:r>
        <w:rPr>
          <w:rFonts w:hint="eastAsia"/>
          <w:lang w:val="en-US" w:eastAsia="zh-CN"/>
        </w:rPr>
        <w:t>再保理及租赁保理</w:t>
      </w:r>
    </w:p>
    <w:p>
      <w:pPr>
        <w:pStyle w:val="3"/>
        <w:rPr>
          <w:rFonts w:hint="eastAsia"/>
          <w:lang w:val="en-US" w:eastAsia="zh-CN"/>
        </w:rPr>
      </w:pPr>
      <w:bookmarkStart w:id="7" w:name="_Toc382496267"/>
      <w:r>
        <w:rPr>
          <w:rFonts w:hint="eastAsia"/>
        </w:rPr>
        <w:t xml:space="preserve">3.1 </w:t>
      </w:r>
      <w:bookmarkEnd w:id="7"/>
      <w:r>
        <w:rPr>
          <w:rFonts w:hint="eastAsia"/>
          <w:lang w:val="en-US" w:eastAsia="zh-CN"/>
        </w:rPr>
        <w:t>再保理</w:t>
      </w:r>
    </w:p>
    <w:p>
      <w:pPr>
        <w:ind w:firstLine="420" w:firstLineChars="0"/>
        <w:jc w:val="left"/>
        <w:rPr>
          <w:rFonts w:hint="eastAsia"/>
          <w:lang w:val="en-US" w:eastAsia="zh-CN"/>
        </w:rPr>
      </w:pPr>
      <w:r>
        <w:rPr>
          <w:rFonts w:hint="eastAsia"/>
          <w:lang w:val="en-US" w:eastAsia="zh-CN"/>
        </w:rPr>
        <w:t>"再保理"是一种金融服务，本质上是关于债权的再次转让。在这种交易中，企业将其因贸易产生的应收账款债权转让给保理公司，然后保理公司再将这一权利转让给其他保理商。银行再保理则是指银行在商业保理公司核定投资信用后，通过向商业保理公司提供融资，参与再保理交易的一种方式。</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对于再保理文件的审核需要特别注意以下几点：</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（1）基础交易文件的审核： 由于保理公司在再保理交易中并不直接参与基础交易，所以需要审核基础交易文件的完整性。这些文件通常包括基础交易合同、发票或应收账款明细，以及买方对债务的确认。</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（2）初始保理相关文件审核： 初始保理阶段涉及的文件包括初始保理合同、应收账款转让通知（初始保理阶段）以及应收账款转让登记记录（初始保理阶段）。这些文件确保了再保理交易的各方在初始阶段的权利和义务。</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（3）其他文件： 根据具体情况，根据再保理信贷审批的要求，可能需要提交其他文件，并按照相关的审核要求进行审核。</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通过详细的文件审核，保理公司可以确保再保理交易的合规性、安全性和有效性。这种审核过程是保障再保理交易顺利进行的重要步骤。</w:t>
      </w: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0" distR="0">
            <wp:extent cx="5253990" cy="3549650"/>
            <wp:effectExtent l="0" t="0" r="3810" b="1270"/>
            <wp:docPr id="1030" name="图片 4" descr="未命名文件(10)"/>
            <wp:cNvGraphicFramePr/>
            <a:graphic xmlns:a="http://schemas.openxmlformats.org/drawingml/2006/main">
              <a:graphicData uri="http://schemas.openxmlformats.org/drawingml/2006/picture">
                <pic:pic xmlns:pic="http://schemas.openxmlformats.org/drawingml/2006/picture">
                  <pic:nvPicPr>
                    <pic:cNvPr id="1030" name="图片 4" descr="未命名文件(10)"/>
                    <pic:cNvPicPr/>
                  </pic:nvPicPr>
                  <pic:blipFill>
                    <a:blip r:embed="rId9" cstate="print"/>
                    <a:srcRect/>
                    <a:stretch>
                      <a:fillRect/>
                    </a:stretch>
                  </pic:blipFill>
                  <pic:spPr>
                    <a:xfrm>
                      <a:off x="0" y="0"/>
                      <a:ext cx="5253990" cy="3549650"/>
                    </a:xfrm>
                    <a:prstGeom prst="rect">
                      <a:avLst/>
                    </a:prstGeom>
                  </pic:spPr>
                </pic:pic>
              </a:graphicData>
            </a:graphic>
          </wp:inline>
        </w:drawing>
      </w:r>
    </w:p>
    <w:p>
      <w:pPr>
        <w:jc w:val="center"/>
        <w:rPr>
          <w:rFonts w:hint="eastAsia"/>
          <w:lang w:val="en-US" w:eastAsia="zh-CN"/>
        </w:rPr>
      </w:pPr>
      <w:r>
        <w:rPr>
          <w:rFonts w:hint="eastAsia"/>
          <w:lang w:val="en-US" w:eastAsia="zh-CN"/>
        </w:rPr>
        <w:t>图3-1 再保理流程图</w:t>
      </w:r>
    </w:p>
    <w:p>
      <w:pPr>
        <w:pStyle w:val="3"/>
        <w:rPr>
          <w:rFonts w:hint="eastAsia"/>
        </w:rPr>
      </w:pPr>
      <w:bookmarkStart w:id="8" w:name="_Toc382496268"/>
      <w:r>
        <w:rPr>
          <w:rFonts w:hint="eastAsia"/>
        </w:rPr>
        <w:t xml:space="preserve">3.2 </w:t>
      </w:r>
      <w:bookmarkEnd w:id="8"/>
      <w:r>
        <w:rPr>
          <w:rFonts w:hint="eastAsia"/>
          <w:lang w:val="en-US" w:eastAsia="zh-CN"/>
        </w:rPr>
        <w:t>租赁保理</w:t>
      </w:r>
    </w:p>
    <w:p>
      <w:pPr>
        <w:tabs>
          <w:tab w:val="left" w:pos="7920"/>
        </w:tabs>
        <w:spacing w:line="360" w:lineRule="auto"/>
        <w:ind w:firstLine="420" w:firstLineChars="200"/>
        <w:rPr>
          <w:rFonts w:hint="eastAsia"/>
          <w:lang w:val="en-US" w:eastAsia="zh-CN"/>
        </w:rPr>
      </w:pPr>
      <w:r>
        <w:rPr>
          <w:rFonts w:hint="eastAsia"/>
          <w:lang w:val="en-US" w:eastAsia="zh-CN"/>
        </w:rPr>
        <w:t>融资租赁保理业务是融资租赁业务与银行保理业务相结合的一种金融服务模式。在这种模式中，租赁公司向承租人提供融资租赁服务，同时将未到期的应收租金债权转让给银行。银行基于这些未到期的租金债权为租赁公司提供融资支持，同时作为租金债权的受让人，直接向承租人收取租金支付。</w:t>
      </w:r>
    </w:p>
    <w:p>
      <w:pPr>
        <w:tabs>
          <w:tab w:val="left" w:pos="7920"/>
        </w:tabs>
        <w:spacing w:line="360" w:lineRule="auto"/>
        <w:ind w:firstLine="420" w:firstLineChars="200"/>
        <w:rPr>
          <w:rFonts w:hint="eastAsia"/>
          <w:lang w:val="en-US" w:eastAsia="zh-CN"/>
        </w:rPr>
      </w:pPr>
      <w:r>
        <w:rPr>
          <w:rFonts w:hint="eastAsia"/>
          <w:lang w:val="en-US" w:eastAsia="zh-CN"/>
        </w:rPr>
        <w:t>具体来说，融资租赁保理业务包括以下步骤：</w:t>
      </w:r>
    </w:p>
    <w:p>
      <w:pPr>
        <w:tabs>
          <w:tab w:val="left" w:pos="7920"/>
        </w:tabs>
        <w:spacing w:line="360" w:lineRule="auto"/>
        <w:ind w:firstLine="420" w:firstLineChars="200"/>
        <w:rPr>
          <w:rFonts w:hint="eastAsia"/>
          <w:lang w:val="en-US" w:eastAsia="zh-CN"/>
        </w:rPr>
      </w:pPr>
      <w:r>
        <w:rPr>
          <w:rFonts w:hint="eastAsia"/>
          <w:lang w:val="en-US" w:eastAsia="zh-CN"/>
        </w:rPr>
        <w:t>（1）购买合同与租赁合同的签订： 租赁公司根据承租人对租赁资产和供应商的选择，与供应商订立购买合同，并与承租人签订租赁合同。这些合同规定了租赁资产的购买和租赁条件。</w:t>
      </w:r>
    </w:p>
    <w:p>
      <w:pPr>
        <w:tabs>
          <w:tab w:val="left" w:pos="7920"/>
        </w:tabs>
        <w:spacing w:line="360" w:lineRule="auto"/>
        <w:ind w:firstLine="420" w:firstLineChars="200"/>
        <w:rPr>
          <w:rFonts w:hint="eastAsia"/>
          <w:lang w:val="en-US" w:eastAsia="zh-CN"/>
        </w:rPr>
      </w:pPr>
      <w:r>
        <w:rPr>
          <w:rFonts w:hint="eastAsia"/>
          <w:lang w:val="en-US" w:eastAsia="zh-CN"/>
        </w:rPr>
        <w:t>（2）租赁资产取得： 租赁公司从供应商处取得租赁资产，这些资产将按照合同约定租赁给承租人使用。</w:t>
      </w:r>
    </w:p>
    <w:p>
      <w:pPr>
        <w:tabs>
          <w:tab w:val="left" w:pos="7920"/>
        </w:tabs>
        <w:spacing w:line="360" w:lineRule="auto"/>
        <w:ind w:firstLine="420" w:firstLineChars="200"/>
        <w:rPr>
          <w:rFonts w:hint="eastAsia"/>
          <w:lang w:val="en-US" w:eastAsia="zh-CN"/>
        </w:rPr>
      </w:pPr>
      <w:r>
        <w:rPr>
          <w:rFonts w:hint="eastAsia"/>
          <w:lang w:val="en-US" w:eastAsia="zh-CN"/>
        </w:rPr>
        <w:t>（3）应收租金债权转让： 租赁公司将未到期的应收租金债权转让给银行。这些未到期的租金债权作为银行提供融资的基础。</w:t>
      </w:r>
    </w:p>
    <w:p>
      <w:pPr>
        <w:tabs>
          <w:tab w:val="left" w:pos="7920"/>
        </w:tabs>
        <w:spacing w:line="360" w:lineRule="auto"/>
        <w:ind w:firstLine="420" w:firstLineChars="200"/>
        <w:rPr>
          <w:rFonts w:hint="eastAsia"/>
          <w:lang w:val="en-US" w:eastAsia="zh-CN"/>
        </w:rPr>
      </w:pPr>
      <w:r>
        <w:rPr>
          <w:rFonts w:hint="eastAsia"/>
          <w:lang w:val="en-US" w:eastAsia="zh-CN"/>
        </w:rPr>
        <w:t>（4）银行提供融资： 基于未到期的租金债权，银行向租赁公司提供融资支持，以满足租赁公司的资金需求。</w:t>
      </w:r>
    </w:p>
    <w:p>
      <w:pPr>
        <w:tabs>
          <w:tab w:val="left" w:pos="7920"/>
        </w:tabs>
        <w:spacing w:line="360" w:lineRule="auto"/>
        <w:ind w:firstLine="420" w:firstLineChars="200"/>
        <w:rPr>
          <w:rFonts w:hint="eastAsia"/>
          <w:lang w:val="en-US" w:eastAsia="zh-CN"/>
        </w:rPr>
      </w:pPr>
    </w:p>
    <w:p>
      <w:pPr>
        <w:tabs>
          <w:tab w:val="left" w:pos="7920"/>
        </w:tabs>
        <w:spacing w:line="360" w:lineRule="auto"/>
        <w:ind w:firstLine="420" w:firstLineChars="200"/>
        <w:rPr>
          <w:rFonts w:hint="eastAsia"/>
          <w:lang w:val="en-US" w:eastAsia="zh-CN"/>
        </w:rPr>
      </w:pPr>
      <w:r>
        <w:rPr>
          <w:rFonts w:hint="eastAsia"/>
          <w:lang w:val="en-US" w:eastAsia="zh-CN"/>
        </w:rPr>
        <w:t>（5）银行作为租金债权受让人： 银行成为租金债权的受让人，直接向承租人收取支付租金。这意味着银行在合同期限内获得了租金的权益。</w:t>
      </w:r>
    </w:p>
    <w:p>
      <w:pPr>
        <w:tabs>
          <w:tab w:val="left" w:pos="7920"/>
        </w:tabs>
        <w:spacing w:line="360" w:lineRule="auto"/>
        <w:ind w:firstLine="420" w:firstLineChars="200"/>
        <w:rPr>
          <w:rFonts w:hint="eastAsia"/>
        </w:rPr>
      </w:pPr>
      <w:r>
        <w:rPr>
          <w:rFonts w:hint="eastAsia"/>
          <w:lang w:val="en-US" w:eastAsia="zh-CN"/>
        </w:rPr>
        <w:t>融资租赁保理业务的核心是通过将租金债权转让给银行，租赁公司可以获得资金融资，从而提高了其经营资金周转效率。对于银行而言，这种业务模式也提供了稳定的投资回报。总体而言，融资租赁保理业务为租赁公司和银行双方带来了互利互惠的机会。</w:t>
      </w:r>
    </w:p>
    <w:p>
      <w:pPr>
        <w:tabs>
          <w:tab w:val="left" w:pos="7920"/>
        </w:tabs>
        <w:spacing w:line="360" w:lineRule="auto"/>
        <w:ind w:firstLine="420" w:firstLineChars="200"/>
        <w:rPr>
          <w:rFonts w:hint="eastAsia"/>
        </w:rPr>
      </w:pPr>
    </w:p>
    <w:p>
      <w:pPr>
        <w:rPr>
          <w:rFonts w:hint="eastAsia"/>
        </w:rPr>
      </w:pPr>
    </w:p>
    <w:p>
      <w:pPr>
        <w:pStyle w:val="2"/>
        <w:rPr>
          <w:rFonts w:hint="default" w:eastAsia="宋体"/>
          <w:lang w:val="en-US" w:eastAsia="zh-CN"/>
        </w:rPr>
      </w:pPr>
      <w:r>
        <w:rPr>
          <w:rFonts w:hint="eastAsia"/>
          <w:lang w:val="en-US" w:eastAsia="zh-CN"/>
        </w:rPr>
        <w:t>四</w:t>
      </w:r>
      <w:r>
        <w:rPr>
          <w:rFonts w:hint="eastAsia"/>
        </w:rPr>
        <w:t>、</w:t>
      </w:r>
      <w:r>
        <w:rPr>
          <w:rFonts w:hint="eastAsia"/>
          <w:lang w:val="en-US" w:eastAsia="zh-CN"/>
        </w:rPr>
        <w:t>风险规避</w:t>
      </w:r>
    </w:p>
    <w:p>
      <w:pPr>
        <w:tabs>
          <w:tab w:val="left" w:pos="7920"/>
        </w:tabs>
        <w:spacing w:line="360" w:lineRule="auto"/>
        <w:ind w:firstLine="420" w:firstLineChars="200"/>
        <w:rPr>
          <w:rFonts w:hint="eastAsia"/>
        </w:rPr>
      </w:pPr>
      <w:r>
        <w:rPr>
          <w:rFonts w:hint="eastAsia"/>
        </w:rPr>
        <w:t>风险规避是保理业务中至关重要的一部分，旨在减少潜在的风险和损失。以下是关于风险规避的内容：</w:t>
      </w:r>
    </w:p>
    <w:p>
      <w:pPr>
        <w:tabs>
          <w:tab w:val="left" w:pos="7920"/>
        </w:tabs>
        <w:spacing w:line="360" w:lineRule="auto"/>
        <w:ind w:firstLine="420" w:firstLineChars="200"/>
        <w:rPr>
          <w:rFonts w:hint="eastAsia"/>
        </w:rPr>
      </w:pPr>
      <w:r>
        <w:rPr>
          <w:rFonts w:hint="eastAsia"/>
        </w:rPr>
        <w:t>在保理业务中，直接支付是一个需要特别关注的风险点。这指的是买方将款项支付至除银行指定账户以外的卖方账户，这在保险责任范围之外。为了规避这种风险，需要确保买方按照合同约定的回款路径进行支付，从而确保债务得以清偿。</w:t>
      </w:r>
    </w:p>
    <w:p>
      <w:pPr>
        <w:tabs>
          <w:tab w:val="left" w:pos="7920"/>
        </w:tabs>
        <w:spacing w:line="360" w:lineRule="auto"/>
        <w:ind w:firstLine="420" w:firstLineChars="200"/>
        <w:rPr>
          <w:rFonts w:hint="eastAsia"/>
        </w:rPr>
      </w:pPr>
      <w:r>
        <w:rPr>
          <w:rFonts w:hint="eastAsia"/>
        </w:rPr>
        <w:t>在应收账款转让中，银行已经向买方通知了转让事宜并指定新的回款专户。如果买方未按照新的回款路径回款，这笔债务实际上未被还清。作为新债权人，银行有权要求买方进行第二次付款，直至该笔债务得到清偿。因此，银行对于转让通知的控制和实施非常严格，确保通知的真实性和有效性。</w:t>
      </w:r>
    </w:p>
    <w:p>
      <w:pPr>
        <w:tabs>
          <w:tab w:val="left" w:pos="7920"/>
        </w:tabs>
        <w:spacing w:line="360" w:lineRule="auto"/>
        <w:ind w:firstLine="420" w:firstLineChars="200"/>
        <w:rPr>
          <w:rFonts w:hint="eastAsia"/>
        </w:rPr>
      </w:pPr>
      <w:r>
        <w:rPr>
          <w:rFonts w:hint="eastAsia"/>
        </w:rPr>
        <w:t>根据合同法，债权转让在通知送达合同相对方时即产生约束力，无论对方是否签署确认回执，都不影响债权转让的效力。在实际操作中，买方签字或盖章的真伪难以确定，导致保理银行在法庭上难以获得支持。因此，确保通知的实质完成远比获得买方签字或盖章更为重要。</w:t>
      </w:r>
    </w:p>
    <w:p>
      <w:pPr>
        <w:tabs>
          <w:tab w:val="left" w:pos="7920"/>
        </w:tabs>
        <w:spacing w:line="360" w:lineRule="auto"/>
        <w:ind w:firstLine="420" w:firstLineChars="200"/>
        <w:rPr>
          <w:rFonts w:hint="eastAsia"/>
        </w:rPr>
      </w:pPr>
      <w:r>
        <w:rPr>
          <w:rFonts w:hint="eastAsia"/>
        </w:rPr>
        <w:t>为了减少这种风险，银行会实施应收账款转让通知，包括初始转让通知和逐笔转让通知两个类型，分阶段进行寄送。初始通知起到引导作用，根据授信要求可以要求买方确认。而逐笔通知则更具体地涵盖每一笔发票明细，确保通知到达买方。通知会通过快递寄送，全程由风险管理部门负责，并保留相关记录。所有寄送地址必须为买方注册地址，确保通知的有效送达是放款的前提。</w:t>
      </w:r>
    </w:p>
    <w:p>
      <w:pPr>
        <w:tabs>
          <w:tab w:val="left" w:pos="7920"/>
        </w:tabs>
        <w:spacing w:line="360" w:lineRule="auto"/>
        <w:ind w:firstLine="420" w:firstLineChars="200"/>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default"/>
          <w:lang w:val="en-US" w:eastAsia="zh-CN"/>
        </w:rPr>
      </w:pPr>
      <w:r>
        <w:rPr>
          <w:rFonts w:hint="eastAsia"/>
          <w:lang w:val="en-US" w:eastAsia="zh-CN"/>
        </w:rPr>
        <w:t>参 考 文 献</w:t>
      </w:r>
    </w:p>
    <w:p>
      <w:pPr>
        <w:jc w:val="both"/>
        <w:rPr>
          <w:rFonts w:hint="default"/>
          <w:lang w:val="en-US" w:eastAsia="zh-CN"/>
        </w:rPr>
      </w:pPr>
    </w:p>
    <w:p>
      <w:pPr>
        <w:jc w:val="both"/>
        <w:rPr>
          <w:rFonts w:hint="default"/>
          <w:lang w:val="en-US" w:eastAsia="zh-CN"/>
        </w:rPr>
      </w:pPr>
      <w:r>
        <w:rPr>
          <w:rFonts w:hint="eastAsia"/>
          <w:lang w:val="en-US" w:eastAsia="zh-CN"/>
        </w:rPr>
        <w:t>[1]</w:t>
      </w:r>
      <w:r>
        <w:rPr>
          <w:rFonts w:hint="default"/>
          <w:lang w:val="en-US" w:eastAsia="zh-CN"/>
        </w:rPr>
        <w:t xml:space="preserve"> 李正威. 中国商业保理与银行保理的对比及发展趋势探讨[J]. 财经界,2021(9):33-34.</w:t>
      </w:r>
    </w:p>
    <w:p>
      <w:pPr>
        <w:jc w:val="both"/>
        <w:rPr>
          <w:rFonts w:hint="eastAsia"/>
        </w:rPr>
      </w:pPr>
    </w:p>
    <w:p>
      <w:pPr>
        <w:jc w:val="both"/>
        <w:rPr>
          <w:rFonts w:hint="eastAsia"/>
        </w:rPr>
      </w:pPr>
    </w:p>
    <w:p>
      <w:pPr>
        <w:spacing w:line="360" w:lineRule="auto"/>
        <w:rPr>
          <w:rFonts w:hint="eastAsia"/>
        </w:rPr>
      </w:pPr>
    </w:p>
    <w:p>
      <w:pPr>
        <w:spacing w:line="360" w:lineRule="auto"/>
        <w:rPr>
          <w:rFonts w:hint="eastAsia"/>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wrap="none" lIns="0" tIns="0" rIns="0" bIns="0" upright="0">
                      <a:spAutoFit/>
                    </wps:bodyPr>
                  </wps:wsp>
                </a:graphicData>
              </a:graphic>
            </wp:anchor>
          </w:drawing>
        </mc:Choice>
        <mc:Fallback>
          <w:pict>
            <v:rect id="文本框2"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l1uVLQAAAABQEAAA8AAAAAAAAAAQAgAAAAIgAAAGRycy9kb3ducmV2LnhtbFBLAQIU&#10;ABQAAAAIAIdO4kD6W5D2wgEAAIYDAAAOAAAAAAAAAAEAIAAAAB8BAABkcnMvZTJvRG9jLnhtbFBL&#10;BQYAAAAABgAGAFkBAABT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TUsImhkaWQiOiJhOTUyODc3Mjc5NDRjMmQ2NjM3MTMyZTE0ZDU4NWRhYyIsInVzZXJDb3VudCI6Nn0="/>
  </w:docVars>
  <w:rsids>
    <w:rsidRoot w:val="00000000"/>
    <w:rsid w:val="09A279CE"/>
    <w:rsid w:val="140C28F9"/>
    <w:rsid w:val="143C0CA7"/>
    <w:rsid w:val="21C85928"/>
    <w:rsid w:val="21CD1190"/>
    <w:rsid w:val="280B2A12"/>
    <w:rsid w:val="2B2E4A24"/>
    <w:rsid w:val="2C7E0342"/>
    <w:rsid w:val="343706EB"/>
    <w:rsid w:val="379F0A81"/>
    <w:rsid w:val="39504729"/>
    <w:rsid w:val="4C2555A1"/>
    <w:rsid w:val="52D860FA"/>
    <w:rsid w:val="5516017D"/>
    <w:rsid w:val="5AD808CC"/>
    <w:rsid w:val="5D746389"/>
    <w:rsid w:val="697B68B9"/>
    <w:rsid w:val="6CA65E33"/>
    <w:rsid w:val="740F42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28"/>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b/>
      <w:bCs/>
      <w:sz w:val="24"/>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qFormat/>
    <w:uiPriority w:val="0"/>
  </w:style>
  <w:style w:type="table" w:default="1" w:styleId="12">
    <w:name w:val="Normal Table"/>
    <w:autoRedefine/>
    <w:qFormat/>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autoRedefine/>
    <w:qFormat/>
    <w:uiPriority w:val="0"/>
    <w:pPr>
      <w:tabs>
        <w:tab w:val="right" w:leader="dot" w:pos="8296"/>
      </w:tabs>
      <w:spacing w:line="360" w:lineRule="auto"/>
    </w:pPr>
    <w:rPr>
      <w:sz w:val="24"/>
      <w:szCs w:val="24"/>
    </w:rPr>
  </w:style>
  <w:style w:type="paragraph" w:styleId="8">
    <w:name w:val="footnote text"/>
    <w:basedOn w:val="1"/>
    <w:autoRedefine/>
    <w:qFormat/>
    <w:uiPriority w:val="0"/>
    <w:pPr>
      <w:snapToGrid w:val="0"/>
      <w:jc w:val="left"/>
    </w:pPr>
    <w:rPr>
      <w:sz w:val="18"/>
    </w:rPr>
  </w:style>
  <w:style w:type="paragraph" w:styleId="9">
    <w:name w:val="Body Text Indent 3"/>
    <w:basedOn w:val="1"/>
    <w:autoRedefine/>
    <w:qFormat/>
    <w:uiPriority w:val="0"/>
    <w:pPr>
      <w:autoSpaceDE w:val="0"/>
      <w:autoSpaceDN w:val="0"/>
      <w:adjustRightInd w:val="0"/>
      <w:ind w:left="420" w:leftChars="200" w:firstLine="420" w:firstLineChars="200"/>
      <w:jc w:val="left"/>
    </w:pPr>
    <w:rPr>
      <w:rFonts w:ascii="宋体" w:hAnsi="Times New Roman" w:eastAsia="宋体" w:cs="Times New Roman"/>
      <w:kern w:val="0"/>
      <w:szCs w:val="20"/>
    </w:rPr>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0" w:beforeAutospacing="1" w:after="0" w:afterAutospacing="1"/>
      <w:ind w:left="0" w:right="0"/>
      <w:jc w:val="left"/>
    </w:pPr>
    <w:rPr>
      <w:kern w:val="0"/>
      <w:sz w:val="24"/>
      <w:lang w:val="en-US" w:eastAsia="zh-CN"/>
    </w:rPr>
  </w:style>
  <w:style w:type="character" w:styleId="14">
    <w:name w:val="Hyperlink"/>
    <w:basedOn w:val="13"/>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WPS%20Office\file:\C:\Users\13410\AppData\Roaming\kingsoft\office6\templates\docerresourceshop\template\3438193\9dbad39f-c63c-4933-b2cf-b140ac3ae538\&#20250;&#35745;&#27861;&#24459;&#36131;&#20219;&#27605;&#19994;&#35770;&#2599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会计法律责任毕业论文.docx</Template>
  <Pages>11</Pages>
  <Words>4553</Words>
  <Characters>4834</Characters>
  <Lines>1</Lines>
  <Paragraphs>1</Paragraphs>
  <TotalTime>1</TotalTime>
  <ScaleCrop>false</ScaleCrop>
  <LinksUpToDate>false</LinksUpToDate>
  <CharactersWithSpaces>4969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2022-11-02T12:17:00Z</dcterms:created>
  <dc:creator>fafa</dc:creator>
  <cp:lastModifiedBy>fafa</cp:lastModifiedBy>
  <dcterms:modified xsi:type="dcterms:W3CDTF">2024-04-25T05:57:55Z</dcterms:modified>
  <dc:title>**大学毕业论文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KSOTemplateUUID">
    <vt:lpwstr>v1.0_mb_jOS0ISczJEWTcnprjC4VXw==</vt:lpwstr>
  </property>
  <property fmtid="{D5CDD505-2E9C-101B-9397-08002B2CF9AE}" pid="4" name="ICV">
    <vt:lpwstr>634B99889FC24C1286C4961EE9296AAA_13</vt:lpwstr>
  </property>
</Properties>
</file>